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ImmunityBio,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001-37507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43-1979754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47"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3530 John Hopkins Court</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3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(844) 696-5235</w:t>
      </w:r>
    </w:p>
    <w:p>
      <w:pPr>
        <w:spacing w:after="0" w:line="18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IBRX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2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Revenue Interest Purchase Agreement</w:t>
      </w:r>
    </w:p>
    <w:p>
      <w:pPr>
        <w:spacing w:after="0" w:line="11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On March 30, 2026, ImmunityBio, Inc. (the “Company”) entered into a Second Amendment to Revenue Interest Purchase Agreement (the “Amendment”) by and among the Company, the guarantors party thereto, the purchasers party thereto (the “Purchasers”) and Infinity SA LLC, as collateral agent and administrative agent for the Purchasers (the “Agent”), which amends that certain Revenue Interest Purchase Agreement dated as of December 29, 2023, by and among the Company, the Purchasers and the Agent (as amended, modified and supplemented prior to the date of the Amendment, the “RIPA”). Pursuant to the Amendment, the Purchasers acquired additional revenue interests (“Revenue Interests”) from the Company for a gross purchase price of $75.0 million (the “Third Payment”) paid at the closing of the Amendment.</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a result of the purchase of the additional Revenue Interests from the Company, the Purchasers have a right to receive quarterly payments (“Revenue Interest Payments”) from the Company based on net sales of the Company’s products during such quarter, which payment amount, pursuant to the Amendment, was increased to a tiered range of 5.625% to 12.50% (before funding of the Third Payment, 4.5% to 10.0%) of the Company’s net sales across the entire world, excluding the People’s Republic of China, Hong Kong and any territories controlled by the People’s Republic of China (the “Covered Territory”); provided that (a) if the aggregate Revenue Interest Payments made to the Purchasers as of the last business day of 2029 (the “Test Date”) equal or exceed $375.0 million (the “Cumulative Purchaser Payments”) as of the Test Date, the tiered revenue interest rate will be decreased to a single rate of 2.8125% (before the funding of the Third Payment, 2.25%) of the Company’s net sales in the Covered Territory, and (b) if the aggregate Revenue Interest Payments made to the Purchasers as of the Test Date do not equal or exceed the aggregate amount of Cumulative Purchaser Payments as of the Test Date, then as of and following the Test Date, the initially tiered revenue interest rate will be increased for all subsequent calendar years to a single defined rate that, had such increased rate applied to the applicable tiered rate during the period from the Closing Date through and including the Test Date, it would have resulted in the Purchasers having received aggregate Revenue Interest Payments (excluding certain payments detailed in the RIPA) in an amount equal to the Cumulative Purchaser Payments as of the Test Date.</w:t>
      </w:r>
    </w:p>
    <w:p>
      <w:pPr>
        <w:spacing w:after="0" w:line="19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Purchasers’ rights to receive the Revenue Interest Payments shall terminate on the date on which the Purchasers have received Revenue Interest Payments in an aggregate amount equal to 195% of the then Cumulative Purchaser Payments, unless, in certain situations detailed in the RIPA, the RIPA is terminated prior to such date.</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proceeds of the Third Payment will be used for general corporate purposes, including payment of transaction expenses incurred in connection with the Amendment and related RIPA documentation.</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Company’s obligations under the RIPA, as amended by the Amendment, are guaranteed by certain of its subsidiaries. To secure the Company’s obligations under the RIPA, amended by the Amendment, and the subsidiary guarantors’ obligations under the guarantees, each of the Company and the subsidiary guarantors has granted a security interest in substantially all its assets, subject to certain exceptions and limitations.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foregoing is only a brief description of the material terms of the Amendment, does not purport to be a complete description of the rights and obligations of the parties thereunder, and is qualified in its entirety by reference to the Amendment that is filed as Exhibit 10.1 to this Current Report on Form 8-K and incorporated herein by reference.</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relevant, the information set forth in Item 1.01 above is incorporated by reference into this Item 2.03.</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March 31, 2026, the Company issued a press release announcing the Amendment and the Partial Note Conversion described in Item 8.01 below. The press release is attached as Exhibit 99.1 to this Current Report on Form 8-K and incorporated into this Item 7.01 by reference.</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including Exhibit 99.1 attached hereto,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filing.</w:t>
      </w:r>
    </w:p>
    <w:p>
      <w:pPr>
        <w:sectPr>
          <w:pgSz w:w="11900" w:h="16838" w:orient="portrait"/>
          <w:cols w:equalWidth="0" w:num="1">
            <w:col w:w="11020"/>
          </w:cols>
          <w:pgMar w:left="440" w:top="293" w:right="439" w:bottom="1440" w:gutter="0" w:footer="0" w:header="0"/>
        </w:sectPr>
      </w:pPr>
    </w:p>
    <w:bookmarkStart w:id="2" w:name="page3"/>
    <w:bookmarkEnd w:id="2"/>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Also on March 30, 2026, simultaneous with the execution of the Amendment, Nant Capital, LLC, an entity affiliated with Dr. Patrick Soon-Shiong, the Company’s Executive Chairman and Global Chief Scientific and Medical Officer, converted $25.0 million of the principal amount outstanding under that certain convertible Second Amended and Restated Promissory Note, dated December 10, 2024, as amended (the “Convertible Promissory Note”), into 4,606,596 shares of Common Stock of the Company pursuant to the terms of the Convertible Promissory Note (the “Partial Note Conversion”). Following the Partial Note Conversion, the principal amount outstanding under the Convertible Promissory Note is $480.0 million.</w:t>
      </w:r>
    </w:p>
    <w:p>
      <w:pPr>
        <w:spacing w:after="0" w:line="328"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3"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7220" w:type="dxa"/>
            <w:vAlign w:val="bottom"/>
            <w:gridSpan w:val="4"/>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3"/>
        </w:trPr>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22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20" w:type="dxa"/>
            <w:vAlign w:val="bottom"/>
          </w:tcPr>
          <w:p>
            <w:pPr>
              <w:spacing w:after="0"/>
              <w:rPr>
                <w:sz w:val="24"/>
                <w:szCs w:val="24"/>
                <w:color w:val="auto"/>
              </w:rPr>
            </w:pPr>
          </w:p>
        </w:tc>
        <w:tc>
          <w:tcPr>
            <w:tcW w:w="9840" w:type="dxa"/>
            <w:vAlign w:val="bottom"/>
            <w:tcBorders>
              <w:bottom w:val="single" w:sz="8" w:color="0000EE"/>
            </w:tcBorders>
            <w:gridSpan w:val="5"/>
          </w:tcPr>
          <w:p>
            <w:pPr>
              <w:ind w:left="20"/>
              <w:spacing w:after="0"/>
              <w:rPr>
                <w:sz w:val="20"/>
                <w:szCs w:val="20"/>
                <w:color w:val="auto"/>
              </w:rPr>
            </w:pPr>
            <w:r>
              <w:rPr>
                <w:rFonts w:ascii="Times New Roman" w:cs="Times New Roman" w:eastAsia="Times New Roman" w:hAnsi="Times New Roman"/>
                <w:sz w:val="18"/>
                <w:szCs w:val="18"/>
                <w:color w:val="0000EE"/>
                <w:w w:val="99"/>
              </w:rPr>
              <w:t>Second Amendment to Revenue Interest Purchase Agreement, dated as of March 30, 2026 by and among the Company, guarantors party</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780" w:type="dxa"/>
            <w:vAlign w:val="bottom"/>
            <w:tcBorders>
              <w:bottom w:val="single" w:sz="8" w:color="0000EE"/>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thereto, the purchasers party thereto, and Infinity SA LLC, as collateral agent and administrative agent for the Purchasers.</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99.1**</w:t>
            </w:r>
          </w:p>
        </w:tc>
        <w:tc>
          <w:tcPr>
            <w:tcW w:w="620" w:type="dxa"/>
            <w:vAlign w:val="bottom"/>
          </w:tcPr>
          <w:p>
            <w:pPr>
              <w:spacing w:after="0"/>
              <w:rPr>
                <w:sz w:val="24"/>
                <w:szCs w:val="24"/>
                <w:color w:val="auto"/>
              </w:rPr>
            </w:pPr>
          </w:p>
        </w:tc>
        <w:tc>
          <w:tcPr>
            <w:tcW w:w="262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8"/>
                <w:szCs w:val="18"/>
                <w:color w:val="0000EE"/>
                <w:w w:val="98"/>
              </w:rPr>
              <w:t>Press Release dated March 31, 2026</w:t>
            </w:r>
          </w:p>
        </w:tc>
        <w:tc>
          <w:tcPr>
            <w:tcW w:w="72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20" w:type="dxa"/>
            <w:vAlign w:val="bottom"/>
          </w:tcPr>
          <w:p>
            <w:pPr>
              <w:spacing w:after="0"/>
              <w:rPr>
                <w:sz w:val="24"/>
                <w:szCs w:val="24"/>
                <w:color w:val="auto"/>
              </w:rPr>
            </w:pPr>
          </w:p>
        </w:tc>
        <w:tc>
          <w:tcPr>
            <w:tcW w:w="98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ectPr>
          <w:pgSz w:w="11900" w:h="16838" w:orient="portrait"/>
          <w:cols w:equalWidth="0" w:num="1">
            <w:col w:w="10964"/>
          </w:cols>
          <w:pgMar w:left="436" w:top="293" w:right="49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IMMUNITYBIO, INC.</w:t>
      </w:r>
    </w:p>
    <w:p>
      <w:pPr>
        <w:spacing w:after="0" w:line="3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i w:val="1"/>
          <w:iCs w:val="1"/>
          <w:color w:val="auto"/>
        </w:rPr>
        <w:t>Registrant</w:t>
      </w:r>
    </w:p>
    <w:p>
      <w:pPr>
        <w:spacing w:after="0" w:line="207"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March 31,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C. Sachs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David C. Sachs</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700"/>
          </w:cols>
          <w:pgMar w:left="440" w:top="293"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SECOND 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REVENUE INTEREST PURCHASE AGREEMENT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30, 2026</w:t>
      </w:r>
    </w:p>
    <w:p>
      <w:pPr>
        <w:spacing w:after="0" w:line="221" w:lineRule="exact"/>
        <w:rPr>
          <w:sz w:val="20"/>
          <w:szCs w:val="20"/>
          <w:color w:val="auto"/>
        </w:rPr>
      </w:pPr>
    </w:p>
    <w:p>
      <w:pPr>
        <w:ind w:right="60" w:firstLine="991"/>
        <w:spacing w:after="0" w:line="257" w:lineRule="auto"/>
        <w:rPr>
          <w:sz w:val="20"/>
          <w:szCs w:val="20"/>
          <w:color w:val="auto"/>
        </w:rPr>
      </w:pPr>
      <w:r>
        <w:rPr>
          <w:rFonts w:ascii="Times New Roman" w:cs="Times New Roman" w:eastAsia="Times New Roman" w:hAnsi="Times New Roman"/>
          <w:sz w:val="18"/>
          <w:szCs w:val="18"/>
          <w:color w:val="auto"/>
        </w:rPr>
        <w:t>This SECOND AMENDMENT TO REVENUE INTEREST PURCHASE AGREEMENT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dated as of the date first set forth above, is entered into by and among (i) ImmunityBio,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(ii) solely with respect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the undersigned Subsidiary Guarantors (together with the Company, each an “</w:t>
      </w:r>
      <w:r>
        <w:rPr>
          <w:rFonts w:ascii="Times New Roman" w:cs="Times New Roman" w:eastAsia="Times New Roman" w:hAnsi="Times New Roman"/>
          <w:sz w:val="18"/>
          <w:szCs w:val="18"/>
          <w:b w:val="1"/>
          <w:bCs w:val="1"/>
          <w:i w:val="1"/>
          <w:iCs w:val="1"/>
          <w:color w:val="auto"/>
        </w:rPr>
        <w:t>Obligor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Obligors</w:t>
      </w:r>
      <w:r>
        <w:rPr>
          <w:rFonts w:ascii="Times New Roman" w:cs="Times New Roman" w:eastAsia="Times New Roman" w:hAnsi="Times New Roman"/>
          <w:sz w:val="18"/>
          <w:szCs w:val="18"/>
          <w:color w:val="auto"/>
        </w:rPr>
        <w:t>”), (iii) the Persons listed on the signature pages hereof under the heading “</w:t>
      </w:r>
      <w:r>
        <w:rPr>
          <w:rFonts w:ascii="Times New Roman" w:cs="Times New Roman" w:eastAsia="Times New Roman" w:hAnsi="Times New Roman"/>
          <w:sz w:val="18"/>
          <w:szCs w:val="18"/>
          <w:b w:val="1"/>
          <w:bCs w:val="1"/>
          <w:color w:val="auto"/>
        </w:rPr>
        <w:t>PURCHASERS</w:t>
      </w:r>
      <w:r>
        <w:rPr>
          <w:rFonts w:ascii="Times New Roman" w:cs="Times New Roman" w:eastAsia="Times New Roman" w:hAnsi="Times New Roman"/>
          <w:sz w:val="18"/>
          <w:szCs w:val="18"/>
          <w:color w:val="auto"/>
        </w:rPr>
        <w:t>”, which constitute the Required Purchasers in accordance with Section 8.08(a) of the Purchase Agreement (each a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Purchasers</w:t>
      </w:r>
      <w:r>
        <w:rPr>
          <w:rFonts w:ascii="Times New Roman" w:cs="Times New Roman" w:eastAsia="Times New Roman" w:hAnsi="Times New Roman"/>
          <w:sz w:val="18"/>
          <w:szCs w:val="18"/>
          <w:color w:val="auto"/>
        </w:rPr>
        <w:t>”), and (iv) Infinity SA LLC, a Delaware limited liability company, as collateral agent and administrative agent for the Purchasers (“</w:t>
      </w:r>
      <w:r>
        <w:rPr>
          <w:rFonts w:ascii="Times New Roman" w:cs="Times New Roman" w:eastAsia="Times New Roman" w:hAnsi="Times New Roman"/>
          <w:sz w:val="18"/>
          <w:szCs w:val="18"/>
          <w:b w:val="1"/>
          <w:bCs w:val="1"/>
          <w:i w:val="1"/>
          <w:iCs w:val="1"/>
          <w:color w:val="auto"/>
        </w:rPr>
        <w:t>Purchaser Agent</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Reference is hereby made to the Revenue Interest Purchase Agreement, dated as of December 29, 2023 (as amended by the Limited Consent and Amendment to Revenue Interest Purchase Agreement, dated as of December 10, 2024, and as further amended, restated, amended and restated, supplemented or otherwise modified prior to the date hereof, the “</w:t>
      </w:r>
      <w:r>
        <w:rPr>
          <w:rFonts w:ascii="Times New Roman" w:cs="Times New Roman" w:eastAsia="Times New Roman" w:hAnsi="Times New Roman"/>
          <w:sz w:val="18"/>
          <w:szCs w:val="18"/>
          <w:b w:val="1"/>
          <w:bCs w:val="1"/>
          <w:i w:val="1"/>
          <w:iCs w:val="1"/>
          <w:color w:val="auto"/>
        </w:rPr>
        <w:t>Existing Purchase Agreement</w:t>
      </w:r>
      <w:r>
        <w:rPr>
          <w:rFonts w:ascii="Times New Roman" w:cs="Times New Roman" w:eastAsia="Times New Roman" w:hAnsi="Times New Roman"/>
          <w:sz w:val="18"/>
          <w:szCs w:val="18"/>
          <w:color w:val="auto"/>
        </w:rPr>
        <w:t>” and, as amended hereby, the “</w:t>
      </w:r>
      <w:r>
        <w:rPr>
          <w:rFonts w:ascii="Times New Roman" w:cs="Times New Roman" w:eastAsia="Times New Roman" w:hAnsi="Times New Roman"/>
          <w:sz w:val="18"/>
          <w:szCs w:val="18"/>
          <w:b w:val="1"/>
          <w:bCs w:val="1"/>
          <w:i w:val="1"/>
          <w:iCs w:val="1"/>
          <w:color w:val="auto"/>
        </w:rPr>
        <w:t>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by and among the Company, the Purchasers from time to time party thereto and Purchaser Agent. Capitalized terms not otherwise defined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this Amendment shall have the meanings set forth in the Purchase Agreement. The Obligors, the Purchasers and Purchaser Agent are sometimes referred to herein individually as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has requested from the Purchasers, and the Purchasers have agreed to make, a Third Payment in an aggregate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principal amount of $75,000,000, subject to the terms and conditions set forth herein and in the Purchase Agreement; and</w:t>
      </w:r>
    </w:p>
    <w:p>
      <w:pPr>
        <w:spacing w:after="0" w:line="155" w:lineRule="exact"/>
        <w:rPr>
          <w:sz w:val="20"/>
          <w:szCs w:val="20"/>
          <w:color w:val="auto"/>
        </w:rPr>
      </w:pPr>
    </w:p>
    <w:p>
      <w:pPr>
        <w:ind w:right="2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desire to amend the Existing Purchase Agreement as set forth herein, on the terms and subject to the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herein in accordance with Section 8.08 of the Existing Purchase Agreement.</w:t>
      </w:r>
    </w:p>
    <w:p>
      <w:pPr>
        <w:spacing w:after="0" w:line="155" w:lineRule="exact"/>
        <w:rPr>
          <w:sz w:val="20"/>
          <w:szCs w:val="20"/>
          <w:color w:val="auto"/>
        </w:rPr>
      </w:pPr>
    </w:p>
    <w:p>
      <w:pPr>
        <w:ind w:right="3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good and valuable consideration, the sufficiency and receipt of which are hereby acknowledged,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intending to be legally bound do hereby agree as follows:</w:t>
      </w:r>
    </w:p>
    <w:p>
      <w:pPr>
        <w:spacing w:after="0" w:line="60" w:lineRule="exact"/>
        <w:rPr>
          <w:sz w:val="20"/>
          <w:szCs w:val="20"/>
          <w:color w:val="auto"/>
        </w:rPr>
      </w:pPr>
    </w:p>
    <w:p>
      <w:pPr>
        <w:ind w:left="960" w:right="60" w:hanging="532"/>
        <w:spacing w:after="0" w:line="262" w:lineRule="auto"/>
        <w:tabs>
          <w:tab w:leader="none" w:pos="9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Amendment, the Existing Purchase Agreement (including the schedules and exhibits thereto)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hereby amended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(stricken text shall be deleted from the Existing Purchase Agreement (indicated textually in the 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xml:space="preserve">) and double-underlined text shall be added to the Existing Purchase Agreement (indicated textually in the same manner as the following examples: </w:t>
      </w:r>
      <w:r>
        <w:rPr>
          <w:rFonts w:ascii="Times New Roman" w:cs="Times New Roman" w:eastAsia="Times New Roman" w:hAnsi="Times New Roman"/>
          <w:sz w:val="18"/>
          <w:szCs w:val="18"/>
          <w:u w:val="single" w:color="auto"/>
          <w:color w:val="0000FF"/>
        </w:rPr>
        <w:t>double-underlined text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008000"/>
        </w:rPr>
        <w:t>double-underlined text</w:t>
      </w:r>
      <w:r>
        <w:rPr>
          <w:rFonts w:ascii="Times New Roman" w:cs="Times New Roman" w:eastAsia="Times New Roman" w:hAnsi="Times New Roman"/>
          <w:sz w:val="18"/>
          <w:szCs w:val="18"/>
          <w:color w:val="auto"/>
        </w:rPr>
        <w:t>)).</w:t>
      </w:r>
    </w:p>
    <w:p>
      <w:pPr>
        <w:spacing w:after="0" w:line="68"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Precedent to Effectiveness</w:t>
      </w:r>
      <w:r>
        <w:rPr>
          <w:rFonts w:ascii="Times New Roman" w:cs="Times New Roman" w:eastAsia="Times New Roman" w:hAnsi="Times New Roman"/>
          <w:sz w:val="18"/>
          <w:szCs w:val="18"/>
          <w:color w:val="auto"/>
        </w:rPr>
        <w:t>. The effectiveness of this Amendment shall be subject to the following conditions precedent:</w:t>
      </w:r>
    </w:p>
    <w:p>
      <w:pPr>
        <w:spacing w:after="0" w:line="130" w:lineRule="exact"/>
        <w:rPr>
          <w:rFonts w:ascii="Times New Roman" w:cs="Times New Roman" w:eastAsia="Times New Roman" w:hAnsi="Times New Roman"/>
          <w:sz w:val="18"/>
          <w:szCs w:val="18"/>
          <w:b w:val="1"/>
          <w:bCs w:val="1"/>
          <w:color w:val="auto"/>
        </w:rPr>
      </w:pPr>
    </w:p>
    <w:p>
      <w:pPr>
        <w:ind w:left="1420" w:right="40" w:hanging="432"/>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color w:val="auto"/>
        </w:rPr>
        <w:t>Purchaser Agent shall have received (i) this Amendment, duly executed by the Company, Purchaser Agent and the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Purchasers as required by Section 8.08(a) of the Purchase Agreement, (ii) an irrevocable Payment Notice, duly executed by the Company, with respect to the Third Payment, (iii) the items described in clauses (F)(i) and (G) of Section 2.03(b)(iv) of the Purchase Agreement with respect to the Third Payment, (iv) a secretary’s or corporate certificate executed by an officer of each Obligor attaching certified organizational documents, certificates of good standing (to the extent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3700780</wp:posOffset>
            </wp:positionH>
            <wp:positionV relativeFrom="paragraph">
              <wp:posOffset>-969010</wp:posOffset>
            </wp:positionV>
            <wp:extent cx="22288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5" w:name="page6"/>
    <w:bookmarkEnd w:id="5"/>
    <w:p>
      <w:pPr>
        <w:ind w:left="1000"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such Obligor’s jurisdiction) and incumbency certificates of each Obligor and resolutions of the governing body of each Obligor authorizing such Obligor to enter into this Amendment and perform the transactions contemplated hereby and by the other Transaction Documents (including resolutions of the shareholders, if necessary under the applicable organizational documents to approve entry by an Obligor into this Amendment and the other Transaction Documents), and (v) an Irish law governed deed of confirmation in form and substance satisfactory to Purchaser Agent.</w:t>
      </w:r>
    </w:p>
    <w:p>
      <w:pPr>
        <w:spacing w:after="0" w:line="85" w:lineRule="exact"/>
        <w:rPr>
          <w:sz w:val="20"/>
          <w:szCs w:val="20"/>
          <w:color w:val="auto"/>
        </w:rPr>
      </w:pPr>
    </w:p>
    <w:p>
      <w:pPr>
        <w:ind w:left="5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color w:val="auto"/>
        </w:rPr>
        <w:t>No Put Option Event shall have occurred and not been waived as of the effective date of this Amendment.</w:t>
      </w:r>
    </w:p>
    <w:p>
      <w:pPr>
        <w:spacing w:after="0" w:line="131" w:lineRule="exact"/>
        <w:rPr>
          <w:sz w:val="20"/>
          <w:szCs w:val="20"/>
          <w:color w:val="auto"/>
        </w:rPr>
      </w:pPr>
    </w:p>
    <w:p>
      <w:pPr>
        <w:ind w:left="540" w:hanging="532"/>
        <w:spacing w:after="0"/>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b w:val="1"/>
          <w:bCs w:val="1"/>
          <w:color w:val="auto"/>
        </w:rPr>
      </w:pPr>
    </w:p>
    <w:p>
      <w:pPr>
        <w:ind w:left="1000" w:right="20" w:hanging="432"/>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color w:val="auto"/>
        </w:rPr>
        <w:t>The execution, delivery and performance by the Company of this Amendment have been duly authorized by all necessary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 This Amendment and the Purchase Agreement constitute the Company’s legal, valid and binding obligation, enforceable against it in accordance with its terms, subject to bankruptcy, insolvency, reorganization, moratorium or similar laws affecting creditors’ rights generally or general equitable principles.</w:t>
      </w:r>
    </w:p>
    <w:p>
      <w:pPr>
        <w:spacing w:after="0" w:line="81" w:lineRule="exact"/>
        <w:rPr>
          <w:rFonts w:ascii="Times New Roman" w:cs="Times New Roman" w:eastAsia="Times New Roman" w:hAnsi="Times New Roman"/>
          <w:sz w:val="18"/>
          <w:szCs w:val="18"/>
          <w:b w:val="1"/>
          <w:bCs w:val="1"/>
          <w:color w:val="auto"/>
        </w:rPr>
      </w:pPr>
    </w:p>
    <w:p>
      <w:pPr>
        <w:ind w:left="1000" w:right="20" w:hanging="432"/>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color w:val="auto"/>
        </w:rPr>
        <w:t>All written certificates and written statements heretofore furnished to Purchaser Agent or any Purchaser by or on behalf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for purposes of or in connection with this Amendment or any transaction contemplated hereby were as and when made or deemed made, taken as a whole, true, complete and correct in all material respects and the did not omit to state a material fact necessary in order to make such information, taken as a whole, not misleading in light of the circumstances under which they were furnished and at the time so made or deemed made.</w:t>
      </w:r>
    </w:p>
    <w:p>
      <w:pPr>
        <w:spacing w:after="0" w:line="84" w:lineRule="exact"/>
        <w:rPr>
          <w:rFonts w:ascii="Times New Roman" w:cs="Times New Roman" w:eastAsia="Times New Roman" w:hAnsi="Times New Roman"/>
          <w:sz w:val="18"/>
          <w:szCs w:val="18"/>
          <w:b w:val="1"/>
          <w:bCs w:val="1"/>
          <w:color w:val="auto"/>
        </w:rPr>
      </w:pPr>
    </w:p>
    <w:p>
      <w:pPr>
        <w:ind w:left="1000" w:hanging="432"/>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color w:val="auto"/>
        </w:rPr>
        <w:t>Each of the representations and warranties in Article III of the Purchase Agreement are true, accurate and complete in all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respects as of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such materiality qualifier shall not be applicable to any representations and warranties that already are qualified or modified by materiality or “Material Adverse Effect” in the text thereof);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those representations and warranties expressly referring to a specific earlier date shall be true, accurate and complete in all material respects as of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such materiality qualifier shall not be applicable to any representations and warranties that already are qualified or modified by materiality or “Material Adverse Effect” in the text thereof).</w:t>
      </w:r>
    </w:p>
    <w:p>
      <w:pPr>
        <w:spacing w:after="0" w:line="87" w:lineRule="exact"/>
        <w:rPr>
          <w:rFonts w:ascii="Times New Roman" w:cs="Times New Roman" w:eastAsia="Times New Roman" w:hAnsi="Times New Roman"/>
          <w:sz w:val="18"/>
          <w:szCs w:val="18"/>
          <w:b w:val="1"/>
          <w:bCs w:val="1"/>
          <w:color w:val="auto"/>
        </w:rPr>
      </w:pPr>
    </w:p>
    <w:p>
      <w:pPr>
        <w:ind w:left="1000" w:hanging="432"/>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3.4 </w:t>
      </w:r>
      <w:r>
        <w:rPr>
          <w:rFonts w:ascii="Times New Roman" w:cs="Times New Roman" w:eastAsia="Times New Roman" w:hAnsi="Times New Roman"/>
          <w:sz w:val="18"/>
          <w:szCs w:val="18"/>
          <w:color w:val="auto"/>
        </w:rPr>
        <w:t>No Put Option Event has occurred and is continuing and no event has occurred and is continuing which, with the giving of notice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passage of time, or both, would constitute a Put Option Event, on or prior to the effective date of this Amendment.</w:t>
      </w:r>
    </w:p>
    <w:p>
      <w:pPr>
        <w:spacing w:after="0" w:line="60" w:lineRule="exact"/>
        <w:rPr>
          <w:rFonts w:ascii="Times New Roman" w:cs="Times New Roman" w:eastAsia="Times New Roman" w:hAnsi="Times New Roman"/>
          <w:sz w:val="18"/>
          <w:szCs w:val="18"/>
          <w:b w:val="1"/>
          <w:bCs w:val="1"/>
          <w:color w:val="auto"/>
        </w:rPr>
      </w:pPr>
    </w:p>
    <w:p>
      <w:pPr>
        <w:ind w:left="540" w:hanging="532"/>
        <w:spacing w:after="0"/>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Release of Claims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b w:val="1"/>
          <w:bCs w:val="1"/>
          <w:color w:val="auto"/>
        </w:rPr>
      </w:pPr>
    </w:p>
    <w:p>
      <w:pPr>
        <w:ind w:left="1000" w:right="40" w:hanging="432"/>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color w:val="auto"/>
        </w:rPr>
        <w:t>The Company hereby absolutely and unconditionally releases and forever discharges Purchaser Agent and each Purchaser, 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all parent corporations, subsidiary corporations, affiliated corporations, successors and assigns thereof, together with all of the present and former directors, officers, agents, attorneys and employees of any of the foregoing (each, a “</w:t>
      </w:r>
      <w:r>
        <w:rPr>
          <w:rFonts w:ascii="Times New Roman" w:cs="Times New Roman" w:eastAsia="Times New Roman" w:hAnsi="Times New Roman"/>
          <w:sz w:val="18"/>
          <w:szCs w:val="18"/>
          <w:b w:val="1"/>
          <w:bCs w:val="1"/>
          <w:i w:val="1"/>
          <w:iCs w:val="1"/>
          <w:color w:val="auto"/>
        </w:rPr>
        <w:t>Releasee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Releasees</w:t>
      </w:r>
      <w:r>
        <w:rPr>
          <w:rFonts w:ascii="Times New Roman" w:cs="Times New Roman" w:eastAsia="Times New Roman" w:hAnsi="Times New Roman"/>
          <w:sz w:val="18"/>
          <w:szCs w:val="18"/>
          <w:color w:val="auto"/>
        </w:rPr>
        <w:t>”), from any and all claims, demands or causes of action of any kind, nature or description, whether arising in law or equity or upon contract or tort or under any state or federal law or otherwise (each, a</w:t>
      </w:r>
    </w:p>
    <w:p>
      <w:pPr>
        <w:spacing w:after="0" w:line="11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00"/>
          </w:cols>
          <w:pgMar w:left="860" w:top="270" w:right="539" w:bottom="1440" w:gutter="0" w:footer="0" w:header="0"/>
        </w:sectPr>
      </w:pPr>
    </w:p>
    <w:bookmarkStart w:id="6" w:name="page7"/>
    <w:bookmarkEnd w:id="6"/>
    <w:p>
      <w:pPr>
        <w:ind w:left="1000"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Claims</w:t>
      </w:r>
      <w:r>
        <w:rPr>
          <w:rFonts w:ascii="Times New Roman" w:cs="Times New Roman" w:eastAsia="Times New Roman" w:hAnsi="Times New Roman"/>
          <w:sz w:val="18"/>
          <w:szCs w:val="18"/>
          <w:color w:val="auto"/>
        </w:rPr>
        <w:t>”), which the Company has had, now has or has made claim to have against any such person for or by reason of any act, omission, matter, cause or thing whatsoever arising from the beginning of time to and including the date of this Amendment, whether such claims, demands and causes of action are matured or unmatured or known or unknown. The Company understands, acknowledges and agrees that the release set forth above may be pleaded as a full and complete defense to any Claim and may be used as a basis for an injunction against any action, suit or other proceeding which may be instituted, prosecuted or attempted in breach of the provisions of such release. The Company agrees that no fact, event, circumstance, evidence or transaction which could now be asserted or which may hereafter be discovered will affect in any manner the final, absolute and unconditional nature of the release set forth above.</w:t>
      </w:r>
    </w:p>
    <w:p>
      <w:pPr>
        <w:spacing w:after="0" w:line="90" w:lineRule="exact"/>
        <w:rPr>
          <w:sz w:val="20"/>
          <w:szCs w:val="20"/>
          <w:color w:val="auto"/>
        </w:rPr>
      </w:pPr>
    </w:p>
    <w:p>
      <w:pPr>
        <w:ind w:left="1000" w:right="100" w:hanging="431"/>
        <w:spacing w:after="0" w:line="258" w:lineRule="auto"/>
        <w:tabs>
          <w:tab w:leader="none" w:pos="98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8"/>
          <w:szCs w:val="18"/>
          <w:color w:val="auto"/>
        </w:rPr>
        <w:t xml:space="preserve">The Company hereby absolutely, unconditionally and irrevocably covenants and agrees with and in favor of each Releasee that it will not sue (at law, in equity, in any regulatory proceeding or otherwise) any Releasee on the basis of any Claim released, remised and discharged by the Company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above. If the Company violates the foregoing covenant, the Company, for itself and its successors and assigns, agrees to pay, in addition to such other damages as any Releasee may sustain as a result of such violation, all Reimbursable Expenses incurred by any Releasee as a result of such violation.</w:t>
      </w:r>
    </w:p>
    <w:p>
      <w:pPr>
        <w:spacing w:after="0" w:line="89" w:lineRule="exact"/>
        <w:rPr>
          <w:sz w:val="20"/>
          <w:szCs w:val="20"/>
          <w:color w:val="auto"/>
        </w:rPr>
      </w:pPr>
    </w:p>
    <w:p>
      <w:pPr>
        <w:ind w:left="540" w:hanging="532"/>
        <w:spacing w:after="0"/>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b w:val="1"/>
          <w:bCs w:val="1"/>
          <w:color w:val="auto"/>
        </w:rPr>
      </w:pPr>
    </w:p>
    <w:p>
      <w:pPr>
        <w:ind w:left="1000" w:hanging="432"/>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color w:val="auto"/>
        </w:rPr>
        <w:t>Each Obligor hereby (i) acknowledges and agrees that all of its obligations under the Purchase Agreement and each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Document and under any other document or instrument executed and delivered or furnished in connection with such Transaction Documents are reaffirmed and remain in full force and effect on a continuous basis, including, for the avoidance of doubt, after giving effect to this Amendment, (ii) acknowledges, agrees and reaffirms that each Lien on Collateral granted by it to Purchaser Agent under the Transaction Documents for the ratable benefit of the Purchasers is and shall remain in full force and effect after giving effect to this Amendment, and confirms that this Amendment does not constitute a novation, payment and reborrowing or termination of the Obligations or any Transaction Document as in effect prior to the date hereof, and confirms that all such Collateral will continue to secure the payment and performance of all Obligations purported to be secured thereby, (iii) agrees that the Obligations secured by the Transaction Document to which it is a party shall include all Obligations arising after giving effect to this Amendment and (iv) agrees that the Guaranteed Obligations (as defined in the Guaranty) guaranteed pursuant to the Guaranty to which it is a party shall include all Obligations arising after giving effect to this Amendment. Each Subsidiary Guarantor hereby</w:t>
      </w:r>
    </w:p>
    <w:p>
      <w:pPr>
        <w:spacing w:after="0" w:line="7" w:lineRule="exact"/>
        <w:rPr>
          <w:rFonts w:ascii="Times New Roman" w:cs="Times New Roman" w:eastAsia="Times New Roman" w:hAnsi="Times New Roman"/>
          <w:sz w:val="18"/>
          <w:szCs w:val="18"/>
          <w:b w:val="1"/>
          <w:bCs w:val="1"/>
          <w:color w:val="auto"/>
        </w:rPr>
      </w:pPr>
    </w:p>
    <w:p>
      <w:pPr>
        <w:ind w:left="1240" w:hanging="247"/>
        <w:spacing w:after="0"/>
        <w:tabs>
          <w:tab w:leader="none" w:pos="12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receipt of a copy of this Amendment, and (b) consents to the terms set forth herein.</w:t>
      </w:r>
    </w:p>
    <w:p>
      <w:pPr>
        <w:spacing w:after="0" w:line="108" w:lineRule="exact"/>
        <w:rPr>
          <w:sz w:val="20"/>
          <w:szCs w:val="20"/>
          <w:color w:val="auto"/>
        </w:rPr>
      </w:pPr>
    </w:p>
    <w:p>
      <w:pPr>
        <w:ind w:left="1000" w:right="100" w:hanging="431"/>
        <w:spacing w:after="0" w:line="274" w:lineRule="auto"/>
        <w:tabs>
          <w:tab w:leader="none" w:pos="98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color w:val="auto"/>
        </w:rPr>
        <w:t>(i) The execution, delivery and effectiveness of this Amendment shall not operate as a waiver of any rights, power or remedy of Purchaser Agent or the Purchasers under the Purchase Agreement or any other documents executed in connection with the Purchase Agreement or constitute a waiver of any provision of the Purchase Agreement or any other document executed in connection therewith including, without limitation, any Put Option Event and (ii) this Amendment shall not by implication, course of dealing or otherwise limit, modify, amend or in any way affect any of the terms, conditions, obligations, covenants or agreements in the Transaction Documents, in each case, except to the extent limited, modified, amended or affected by this Amendment.</w:t>
      </w:r>
    </w:p>
    <w:p>
      <w:pPr>
        <w:spacing w:after="0" w:line="10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600"/>
          </w:cols>
          <w:pgMar w:left="860" w:top="266" w:right="439" w:bottom="1440" w:gutter="0" w:footer="0" w:header="0"/>
        </w:sectPr>
      </w:pPr>
    </w:p>
    <w:bookmarkStart w:id="7" w:name="page8"/>
    <w:bookmarkEnd w:id="7"/>
    <w:p>
      <w:pPr>
        <w:ind w:left="440" w:right="80" w:hanging="431"/>
        <w:spacing w:after="0" w:line="261" w:lineRule="auto"/>
        <w:tabs>
          <w:tab w:leader="none" w:pos="4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5.3</w:t>
      </w:r>
      <w:r>
        <w:rPr>
          <w:sz w:val="20"/>
          <w:szCs w:val="20"/>
          <w:color w:val="auto"/>
        </w:rPr>
        <w:tab/>
      </w:r>
      <w:r>
        <w:rPr>
          <w:rFonts w:ascii="Times New Roman" w:cs="Times New Roman" w:eastAsia="Times New Roman" w:hAnsi="Times New Roman"/>
          <w:sz w:val="18"/>
          <w:szCs w:val="18"/>
          <w:color w:val="auto"/>
        </w:rPr>
        <w:t>Except as expressly modified by this Amendment, the terms and provisions of the Purchase Agreement shall remain unchanged and in full force and effect in accordance with its terms. In the event of any inconsistencies between the provisions of this Amendment and the provisions of the Purchase Agreement or any other Transaction Document, the provisions of this Amendment shall govern and prevail. This Amendment is a Transaction Document.</w:t>
      </w:r>
    </w:p>
    <w:p>
      <w:pPr>
        <w:spacing w:after="0" w:line="85" w:lineRule="exact"/>
        <w:rPr>
          <w:sz w:val="20"/>
          <w:szCs w:val="20"/>
          <w:color w:val="auto"/>
        </w:rPr>
      </w:pPr>
    </w:p>
    <w:p>
      <w:pPr>
        <w:ind w:left="440" w:right="340" w:hanging="431"/>
        <w:spacing w:after="0" w:line="282" w:lineRule="auto"/>
        <w:tabs>
          <w:tab w:leader="none" w:pos="42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8"/>
          <w:szCs w:val="18"/>
          <w:color w:val="auto"/>
        </w:rPr>
        <w:t>This Amendment shall be governed by, and construed, interpreted and enforced in accordance with, the laws of the state of New York, without giving effect to the principles of conflicts of law thereof.</w:t>
      </w:r>
    </w:p>
    <w:p>
      <w:pPr>
        <w:spacing w:after="0" w:line="67" w:lineRule="exact"/>
        <w:rPr>
          <w:sz w:val="20"/>
          <w:szCs w:val="20"/>
          <w:color w:val="auto"/>
        </w:rPr>
      </w:pPr>
    </w:p>
    <w:p>
      <w:pPr>
        <w:ind w:left="440" w:hanging="431"/>
        <w:spacing w:after="0" w:line="266" w:lineRule="auto"/>
        <w:tabs>
          <w:tab w:leader="none" w:pos="42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8"/>
          <w:szCs w:val="18"/>
          <w:color w:val="auto"/>
        </w:rPr>
        <w:t xml:space="preserve">The provisions of Section 8.02 (Notices), Section 8.08 (Amendments), Section 8.11 (Counterparts; Effectiveness; Electronic Signature), Section 8.12 (Severability), Section 8.14(b) (Jurisdiction), Section 8.14(c) (Service of Process), and Section 8.15 (Waiver of Jury Trial) of the Purchase Agreement are hereby incorporated by reference into this Amendment,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000"/>
          </w:cols>
          <w:pgMar w:left="1420" w:top="266" w:right="479" w:bottom="1440" w:gutter="0" w:footer="0" w:header="0"/>
        </w:sectPr>
      </w:pPr>
    </w:p>
    <w:bookmarkStart w:id="8" w:name="page9"/>
    <w:bookmarkEnd w:id="8"/>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caused this Amendment to be duly executed by their respective duly authorized officers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written above.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IMMUNITYBIO,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Sachs</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David Sachs</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SUBSIDIARY GUARANTORS: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INFACELL THERAPEUTICS,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Sachs</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David Sachs</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NANCELL, INC.</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Sachs</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David Sachs</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ETUBICS CORPORATION</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Sachs</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David Sachs</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ALTOR BIOSCIENCE, LLC</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Sachs</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David Sachs</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[Signature Page to Amendment No. 2]</w:t>
      </w:r>
    </w:p>
    <w:p>
      <w:pPr>
        <w:sectPr>
          <w:pgSz w:w="11900" w:h="16838" w:orient="portrait"/>
          <w:cols w:equalWidth="0" w:num="1">
            <w:col w:w="10720"/>
          </w:cols>
          <w:pgMar w:left="440" w:top="266" w:right="7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ALTOR BIOSCIENCE MANUFACTURING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LLC</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Sachs</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David Sachs</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RECEPTOME, INC.</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Sachs</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David Sachs</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IGDRASOL, INC.</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Sachs</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David Sachs</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MCLR PARENT LLC</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Sachs</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David Sachs</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MARIPOSA CLINIC CO LLC</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Sachs</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David Sachs</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MARIPOSA LAB CO LLC</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Sachs</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David Sachs</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8" w:lineRule="exact"/>
        <w:rPr>
          <w:sz w:val="20"/>
          <w:szCs w:val="20"/>
          <w:color w:val="auto"/>
        </w:rPr>
      </w:pPr>
    </w:p>
    <w:p>
      <w:pPr>
        <w:jc w:val="right"/>
        <w:ind w:right="3139"/>
        <w:spacing w:after="0"/>
        <w:rPr>
          <w:sz w:val="20"/>
          <w:szCs w:val="20"/>
          <w:color w:val="auto"/>
        </w:rPr>
      </w:pPr>
      <w:r>
        <w:rPr>
          <w:rFonts w:ascii="Times New Roman" w:cs="Times New Roman" w:eastAsia="Times New Roman" w:hAnsi="Times New Roman"/>
          <w:sz w:val="18"/>
          <w:szCs w:val="18"/>
          <w:color w:val="auto"/>
        </w:rPr>
        <w:t>[Signature Page to Amendment No. 2]</w:t>
      </w:r>
    </w:p>
    <w:p>
      <w:pPr>
        <w:sectPr>
          <w:pgSz w:w="11900" w:h="16838" w:orient="portrait"/>
          <w:cols w:equalWidth="0" w:num="1">
            <w:col w:w="10019"/>
          </w:cols>
          <w:pgMar w:left="440" w:top="270"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MARIPOSA RADIOLOGY CO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Sachs</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David Sachs</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VBC HOLDINGS LLC</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Sachs</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David Sachs</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IMMUNOTHERAPY NANTIBODY, LLC</w:t>
      </w:r>
    </w:p>
    <w:p>
      <w:pPr>
        <w:spacing w:after="0" w:line="22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Sachs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David Sachs</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IMMUNITYBIO IRELAND LIMITED</w:t>
      </w:r>
    </w:p>
    <w:p>
      <w:pPr>
        <w:spacing w:after="0" w:line="22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Sachs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David Sachs</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jc w:val="right"/>
        <w:ind w:right="3139"/>
        <w:spacing w:after="0"/>
        <w:rPr>
          <w:sz w:val="20"/>
          <w:szCs w:val="20"/>
          <w:color w:val="auto"/>
        </w:rPr>
      </w:pPr>
      <w:r>
        <w:rPr>
          <w:rFonts w:ascii="Times New Roman" w:cs="Times New Roman" w:eastAsia="Times New Roman" w:hAnsi="Times New Roman"/>
          <w:sz w:val="18"/>
          <w:szCs w:val="18"/>
          <w:color w:val="auto"/>
        </w:rPr>
        <w:t>[Signature Page to Amendment No. 2]</w:t>
      </w:r>
    </w:p>
    <w:p>
      <w:pPr>
        <w:sectPr>
          <w:pgSz w:w="11900" w:h="16838" w:orient="portrait"/>
          <w:cols w:equalWidth="0" w:num="1">
            <w:col w:w="10019"/>
          </w:cols>
          <w:pgMar w:left="440" w:top="270"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PURCHASER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INFINITY SA LLC</w:t>
      </w:r>
    </w:p>
    <w:p>
      <w:pPr>
        <w:spacing w:after="0" w:line="22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Dubinsky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David Dubinsky</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TPC INVESTMENTS II LP</w:t>
      </w:r>
    </w:p>
    <w:p>
      <w:pPr>
        <w:spacing w:after="0" w:line="23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Dubinsky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David Dubinsky</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TPC INVESTMENTS III LP</w:t>
      </w:r>
    </w:p>
    <w:p>
      <w:pPr>
        <w:spacing w:after="0" w:line="22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Dubinsky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David Dubinsky</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TPC INVESTMENTS SOLUTIONS LP</w:t>
      </w:r>
    </w:p>
    <w:p>
      <w:pPr>
        <w:spacing w:after="0" w:line="22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Dubinsky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David Dubinsky</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TPC INVESTMENTS SOLUTIONS CO-INVEST LP</w:t>
      </w:r>
    </w:p>
    <w:p>
      <w:pPr>
        <w:spacing w:after="0" w:line="22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Dubinsky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David Dubinsky</w: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jc w:val="right"/>
        <w:ind w:right="3139"/>
        <w:spacing w:after="0"/>
        <w:rPr>
          <w:sz w:val="20"/>
          <w:szCs w:val="20"/>
          <w:color w:val="auto"/>
        </w:rPr>
      </w:pPr>
      <w:r>
        <w:rPr>
          <w:rFonts w:ascii="Times New Roman" w:cs="Times New Roman" w:eastAsia="Times New Roman" w:hAnsi="Times New Roman"/>
          <w:sz w:val="18"/>
          <w:szCs w:val="18"/>
          <w:color w:val="auto"/>
        </w:rPr>
        <w:t>[Signature Page to Amendment No. 2]</w:t>
      </w:r>
    </w:p>
    <w:p>
      <w:pPr>
        <w:sectPr>
          <w:pgSz w:w="11900" w:h="16838" w:orient="portrait"/>
          <w:cols w:equalWidth="0" w:num="1">
            <w:col w:w="10019"/>
          </w:cols>
          <w:pgMar w:left="440" w:top="266" w:right="1440"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Conformed Agreement</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[Attached]</w:t>
      </w:r>
    </w:p>
    <w:p>
      <w:pPr>
        <w:sectPr>
          <w:pgSz w:w="11900" w:h="16838" w:orient="portrait"/>
          <w:cols w:equalWidth="0" w:num="1">
            <w:col w:w="9019"/>
          </w:cols>
          <w:pgMar w:left="1440" w:top="266" w:right="1440"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i w:val="1"/>
          <w:iCs w:val="1"/>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Conformed Copy for Amendment </w:t>
      </w:r>
      <w:r>
        <w:rPr>
          <w:rFonts w:ascii="Times New Roman" w:cs="Times New Roman" w:eastAsia="Times New Roman" w:hAnsi="Times New Roman"/>
          <w:sz w:val="18"/>
          <w:szCs w:val="18"/>
          <w:b w:val="1"/>
          <w:bCs w:val="1"/>
          <w:i w:val="1"/>
          <w:iCs w:val="1"/>
          <w:color w:val="0000FF"/>
        </w:rPr>
        <w:t>No. 2</w:t>
      </w:r>
      <w:r>
        <w:rPr>
          <w:rFonts w:ascii="Times New Roman" w:cs="Times New Roman" w:eastAsia="Times New Roman" w:hAnsi="Times New Roman"/>
          <w:sz w:val="18"/>
          <w:szCs w:val="18"/>
          <w:b w:val="1"/>
          <w:bCs w:val="1"/>
          <w:i w:val="1"/>
          <w:iCs w:val="1"/>
          <w:color w:val="auto"/>
        </w:rPr>
        <w:t xml:space="preserve"> dated </w:t>
      </w:r>
      <w:r>
        <w:rPr>
          <w:rFonts w:ascii="Times New Roman" w:cs="Times New Roman" w:eastAsia="Times New Roman" w:hAnsi="Times New Roman"/>
          <w:sz w:val="18"/>
          <w:szCs w:val="18"/>
          <w:b w:val="1"/>
          <w:bCs w:val="1"/>
          <w:i w:val="1"/>
          <w:iCs w:val="1"/>
          <w:color w:val="FF0000"/>
          <w:strike w:val="1"/>
        </w:rPr>
        <w:t>December 10</w:t>
      </w:r>
      <w:r>
        <w:rPr>
          <w:rFonts w:ascii="Times New Roman" w:cs="Times New Roman" w:eastAsia="Times New Roman" w:hAnsi="Times New Roman"/>
          <w:sz w:val="18"/>
          <w:szCs w:val="18"/>
          <w:b w:val="1"/>
          <w:bCs w:val="1"/>
          <w:i w:val="1"/>
          <w:iCs w:val="1"/>
          <w:u w:val="single" w:color="auto"/>
          <w:color w:val="0000FF"/>
        </w:rPr>
        <w:t>March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i w:val="1"/>
          <w:iCs w:val="1"/>
          <w:color w:val="FF0000"/>
          <w:strike w:val="1"/>
        </w:rPr>
        <w:t>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i w:val="1"/>
          <w:iCs w:val="1"/>
          <w:u w:val="single" w:color="auto"/>
          <w:color w:val="0000FF"/>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-121920</wp:posOffset>
            </wp:positionV>
            <wp:extent cx="4540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54025"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14605</wp:posOffset>
            </wp:positionV>
            <wp:extent cx="3086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4142740</wp:posOffset>
            </wp:positionH>
            <wp:positionV relativeFrom="paragraph">
              <wp:posOffset>-19050</wp:posOffset>
            </wp:positionV>
            <wp:extent cx="3111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115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14605</wp:posOffset>
            </wp:positionV>
            <wp:extent cx="4629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62915" cy="825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14605</wp:posOffset>
            </wp:positionV>
            <wp:extent cx="2571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39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REVENUE INTEREST PURCHASE AGREEMENT</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dated as of December 29, 2023</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IMMUNITYBIO,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as the Company,</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the Purchasers from time to time party hereto</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INFINITY SA LLC, as Purchaser Agent</w:t>
      </w:r>
    </w:p>
    <w:p>
      <w:pPr>
        <w:sectPr>
          <w:pgSz w:w="11900" w:h="16838" w:orient="portrait"/>
          <w:cols w:equalWidth="0" w:num="1">
            <w:col w:w="10020"/>
          </w:cols>
          <w:pgMar w:left="1440" w:top="266" w:right="4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980" w:type="dxa"/>
            <w:vAlign w:val="bottom"/>
          </w:tcPr>
          <w:p>
            <w:pPr>
              <w:spacing w:after="0"/>
              <w:rPr>
                <w:sz w:val="17"/>
                <w:szCs w:val="17"/>
                <w:color w:val="auto"/>
              </w:rPr>
            </w:pPr>
          </w:p>
        </w:tc>
      </w:tr>
      <w:tr>
        <w:trPr>
          <w:trHeight w:val="493"/>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 DEFINITIONS</w:t>
            </w:r>
          </w:p>
        </w:tc>
        <w:tc>
          <w:tcPr>
            <w:tcW w:w="1920" w:type="dxa"/>
            <w:vAlign w:val="bottom"/>
            <w:tcBorders>
              <w:top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1.01</w:t>
            </w:r>
          </w:p>
        </w:tc>
        <w:tc>
          <w:tcPr>
            <w:tcW w:w="73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Definitions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338"/>
        </w:trPr>
        <w:tc>
          <w:tcPr>
            <w:tcW w:w="8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II PURCHASE OF REVENUE INTERESTS; PAYMENTS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r>
      <w:tr>
        <w:trPr>
          <w:trHeight w:val="302"/>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2.01</w:t>
            </w:r>
          </w:p>
        </w:tc>
        <w:tc>
          <w:tcPr>
            <w:tcW w:w="73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Purchase of Revenue Interests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2.02</w:t>
            </w:r>
          </w:p>
        </w:tc>
        <w:tc>
          <w:tcPr>
            <w:tcW w:w="73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Payments by the Company</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2.03</w:t>
            </w:r>
          </w:p>
        </w:tc>
        <w:tc>
          <w:tcPr>
            <w:tcW w:w="73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Purchaser Payments; Conditions Precedent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r>
      <w:tr>
        <w:trPr>
          <w:trHeight w:val="238"/>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2.04</w:t>
            </w:r>
          </w:p>
        </w:tc>
        <w:tc>
          <w:tcPr>
            <w:tcW w:w="73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No Assumed Obligations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r>
      <w:tr>
        <w:trPr>
          <w:trHeight w:val="338"/>
        </w:trPr>
        <w:tc>
          <w:tcPr>
            <w:tcW w:w="8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III REPRESENTATIONS AND WARRANTIES OF THE COMPANY</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r>
      <w:tr>
        <w:trPr>
          <w:trHeight w:val="302"/>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3.01</w:t>
            </w:r>
          </w:p>
        </w:tc>
        <w:tc>
          <w:tcPr>
            <w:tcW w:w="73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Organization</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3.02</w:t>
            </w:r>
          </w:p>
        </w:tc>
        <w:tc>
          <w:tcPr>
            <w:tcW w:w="73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Authorization</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3.03</w:t>
            </w:r>
          </w:p>
        </w:tc>
        <w:tc>
          <w:tcPr>
            <w:tcW w:w="73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Enforceability</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3.04</w:t>
            </w:r>
          </w:p>
        </w:tc>
        <w:tc>
          <w:tcPr>
            <w:tcW w:w="73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[Reserved]</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3.05</w:t>
            </w:r>
          </w:p>
        </w:tc>
        <w:tc>
          <w:tcPr>
            <w:tcW w:w="73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3.06</w:t>
            </w:r>
          </w:p>
        </w:tc>
        <w:tc>
          <w:tcPr>
            <w:tcW w:w="73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Financial Statements; No Material Adverse Effect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3.07</w:t>
            </w:r>
          </w:p>
        </w:tc>
        <w:tc>
          <w:tcPr>
            <w:tcW w:w="73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No Undisclosed Liabilities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3.08</w:t>
            </w:r>
          </w:p>
        </w:tc>
        <w:tc>
          <w:tcPr>
            <w:tcW w:w="73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Solvency; No Fraudulent Transfer</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3.09</w:t>
            </w:r>
          </w:p>
        </w:tc>
        <w:tc>
          <w:tcPr>
            <w:tcW w:w="73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Litigation</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3.10</w:t>
            </w:r>
          </w:p>
        </w:tc>
        <w:tc>
          <w:tcPr>
            <w:tcW w:w="73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Compliance with Laws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3.11</w:t>
            </w:r>
          </w:p>
        </w:tc>
        <w:tc>
          <w:tcPr>
            <w:tcW w:w="73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Conflicts; Adverse Agreements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3.12</w:t>
            </w:r>
          </w:p>
        </w:tc>
        <w:tc>
          <w:tcPr>
            <w:tcW w:w="73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Intellectual Property</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3.13</w:t>
            </w:r>
          </w:p>
        </w:tc>
        <w:tc>
          <w:tcPr>
            <w:tcW w:w="73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Regulatory Approvals; Anktiva</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3.14</w:t>
            </w:r>
          </w:p>
        </w:tc>
        <w:tc>
          <w:tcPr>
            <w:tcW w:w="73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Material Contracts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3.15</w:t>
            </w:r>
          </w:p>
        </w:tc>
        <w:tc>
          <w:tcPr>
            <w:tcW w:w="73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Perfection Certificate</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3.16</w:t>
            </w:r>
          </w:p>
        </w:tc>
        <w:tc>
          <w:tcPr>
            <w:tcW w:w="73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Customers and Suppliers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3.17</w:t>
            </w:r>
          </w:p>
        </w:tc>
        <w:tc>
          <w:tcPr>
            <w:tcW w:w="73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Perfection; Subordination</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3.18</w:t>
            </w:r>
          </w:p>
        </w:tc>
        <w:tc>
          <w:tcPr>
            <w:tcW w:w="73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3.19</w:t>
            </w:r>
          </w:p>
        </w:tc>
        <w:tc>
          <w:tcPr>
            <w:tcW w:w="73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Tax</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3.20</w:t>
            </w:r>
          </w:p>
        </w:tc>
        <w:tc>
          <w:tcPr>
            <w:tcW w:w="73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SEC Reports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3.21</w:t>
            </w:r>
          </w:p>
        </w:tc>
        <w:tc>
          <w:tcPr>
            <w:tcW w:w="73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Investment Company Act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3.22</w:t>
            </w:r>
          </w:p>
        </w:tc>
        <w:tc>
          <w:tcPr>
            <w:tcW w:w="73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OFAC; Anti-Terrorism Laws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3.23</w:t>
            </w:r>
          </w:p>
        </w:tc>
        <w:tc>
          <w:tcPr>
            <w:tcW w:w="73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Broker’s Fees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3.24</w:t>
            </w:r>
          </w:p>
        </w:tc>
        <w:tc>
          <w:tcPr>
            <w:tcW w:w="73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Put Option Event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3.25</w:t>
            </w:r>
          </w:p>
        </w:tc>
        <w:tc>
          <w:tcPr>
            <w:tcW w:w="73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Disclosure</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r>
      <w:tr>
        <w:trPr>
          <w:trHeight w:val="238"/>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3.26</w:t>
            </w:r>
          </w:p>
        </w:tc>
        <w:tc>
          <w:tcPr>
            <w:tcW w:w="73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ERISA Compliance, Employee and Labor Matters; Pension Matters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r>
      <w:tr>
        <w:trPr>
          <w:trHeight w:val="338"/>
        </w:trPr>
        <w:tc>
          <w:tcPr>
            <w:tcW w:w="8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IV REPRESENTATIONS AND WARRANTIES OF THE PURCHASERS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r>
      <w:tr>
        <w:trPr>
          <w:trHeight w:val="302"/>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4.01</w:t>
            </w:r>
          </w:p>
        </w:tc>
        <w:tc>
          <w:tcPr>
            <w:tcW w:w="73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Organization</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4.02</w:t>
            </w:r>
          </w:p>
        </w:tc>
        <w:tc>
          <w:tcPr>
            <w:tcW w:w="73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Authorization</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4.03</w:t>
            </w:r>
          </w:p>
        </w:tc>
        <w:tc>
          <w:tcPr>
            <w:tcW w:w="73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Broker’s Fees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r>
      <w:tr>
        <w:trPr>
          <w:trHeight w:val="216"/>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4.04</w:t>
            </w:r>
          </w:p>
        </w:tc>
        <w:tc>
          <w:tcPr>
            <w:tcW w:w="73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Conflicts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r>
      <w:tr>
        <w:trPr>
          <w:trHeight w:val="238"/>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4.05</w:t>
            </w:r>
          </w:p>
        </w:tc>
        <w:tc>
          <w:tcPr>
            <w:tcW w:w="73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r>
      <w:tr>
        <w:trPr>
          <w:trHeight w:val="337"/>
        </w:trPr>
        <w:tc>
          <w:tcPr>
            <w:tcW w:w="8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V COVENANTS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r>
      <w:tr>
        <w:trPr>
          <w:trHeight w:val="324"/>
        </w:trPr>
        <w:tc>
          <w:tcPr>
            <w:tcW w:w="1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5.01</w:t>
            </w:r>
          </w:p>
        </w:tc>
        <w:tc>
          <w:tcPr>
            <w:tcW w:w="73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Notices; Access; Information</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r>
    </w:tbl>
    <w:p>
      <w:pPr>
        <w:jc w:val="right"/>
        <w:spacing w:after="0"/>
        <w:rPr>
          <w:sz w:val="20"/>
          <w:szCs w:val="20"/>
          <w:color w:val="auto"/>
        </w:rPr>
        <w:sectPr>
          <w:pgSz w:w="11900" w:h="16838" w:orient="portrait"/>
          <w:cols w:equalWidth="0" w:num="1">
            <w:col w:w="10960"/>
          </w:cols>
          <w:pgMar w:left="440" w:top="257"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5" w:name="page16"/>
    <w:bookmarkEnd w:id="15"/>
    <w:tbl>
      <w:tblPr>
        <w:tblLayout w:type="fixed"/>
        <w:tblInd w:w="0" w:type="dxa"/>
        <w:tblCellMar>
          <w:top w:w="0" w:type="dxa"/>
          <w:left w:w="0" w:type="dxa"/>
          <w:bottom w:w="0" w:type="dxa"/>
          <w:right w:w="0" w:type="dxa"/>
        </w:tblCellMar>
      </w:tblPr>
      <w:tr>
        <w:trPr>
          <w:trHeight w:val="216"/>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5.02</w:t>
            </w:r>
          </w:p>
        </w:tc>
        <w:tc>
          <w:tcPr>
            <w:tcW w:w="8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Reports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r>
      <w:tr>
        <w:trPr>
          <w:trHeight w:val="216"/>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5.03</w:t>
            </w:r>
          </w:p>
        </w:tc>
        <w:tc>
          <w:tcPr>
            <w:tcW w:w="8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Compliance with Law; Existence and Maintenance of Properties; Payment of Obligations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r>
      <w:tr>
        <w:trPr>
          <w:trHeight w:val="216"/>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5.04</w:t>
            </w:r>
          </w:p>
        </w:tc>
        <w:tc>
          <w:tcPr>
            <w:tcW w:w="8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Confidentiality; Public Announcement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r>
      <w:tr>
        <w:trPr>
          <w:trHeight w:val="216"/>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5.05</w:t>
            </w:r>
          </w:p>
        </w:tc>
        <w:tc>
          <w:tcPr>
            <w:tcW w:w="8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Security Interest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r>
      <w:tr>
        <w:trPr>
          <w:trHeight w:val="216"/>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5.06</w:t>
            </w:r>
          </w:p>
        </w:tc>
        <w:tc>
          <w:tcPr>
            <w:tcW w:w="8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Further Assurances; Creation/Acquisition of Subsidiaries; Additional Collateral; Control Agreements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r>
      <w:tr>
        <w:trPr>
          <w:trHeight w:val="216"/>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5.07</w:t>
            </w:r>
          </w:p>
        </w:tc>
        <w:tc>
          <w:tcPr>
            <w:tcW w:w="8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Put Option; Call Option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r>
      <w:tr>
        <w:trPr>
          <w:trHeight w:val="216"/>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5.08</w:t>
            </w:r>
          </w:p>
        </w:tc>
        <w:tc>
          <w:tcPr>
            <w:tcW w:w="8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Events of Default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r>
      <w:tr>
        <w:trPr>
          <w:trHeight w:val="216"/>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5.09</w:t>
            </w:r>
          </w:p>
        </w:tc>
        <w:tc>
          <w:tcPr>
            <w:tcW w:w="8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Intellectual Property; Regulatory Approvals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r>
      <w:tr>
        <w:trPr>
          <w:trHeight w:val="216"/>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5.10</w:t>
            </w:r>
          </w:p>
        </w:tc>
        <w:tc>
          <w:tcPr>
            <w:tcW w:w="8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r>
      <w:tr>
        <w:trPr>
          <w:trHeight w:val="216"/>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5.11</w:t>
            </w:r>
          </w:p>
        </w:tc>
        <w:tc>
          <w:tcPr>
            <w:tcW w:w="8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Protective Covenants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r>
      <w:tr>
        <w:trPr>
          <w:trHeight w:val="216"/>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5.12</w:t>
            </w:r>
          </w:p>
        </w:tc>
        <w:tc>
          <w:tcPr>
            <w:tcW w:w="8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r>
      <w:tr>
        <w:trPr>
          <w:trHeight w:val="216"/>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5.13</w:t>
            </w:r>
          </w:p>
        </w:tc>
        <w:tc>
          <w:tcPr>
            <w:tcW w:w="8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Material Contracts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r>
      <w:tr>
        <w:trPr>
          <w:trHeight w:val="238"/>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5.14</w:t>
            </w:r>
          </w:p>
        </w:tc>
        <w:tc>
          <w:tcPr>
            <w:tcW w:w="8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Employee and Pension Matters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r>
      <w:tr>
        <w:trPr>
          <w:trHeight w:val="324"/>
        </w:trPr>
        <w:tc>
          <w:tcPr>
            <w:tcW w:w="10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 TERMINATION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r>
      <w:tr>
        <w:trPr>
          <w:trHeight w:val="302"/>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6.01</w:t>
            </w:r>
          </w:p>
        </w:tc>
        <w:tc>
          <w:tcPr>
            <w:tcW w:w="8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Termination Date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r>
      <w:tr>
        <w:trPr>
          <w:trHeight w:val="238"/>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6.02</w:t>
            </w:r>
          </w:p>
        </w:tc>
        <w:tc>
          <w:tcPr>
            <w:tcW w:w="8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Effect of Termination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r>
      <w:tr>
        <w:trPr>
          <w:trHeight w:val="324"/>
        </w:trPr>
        <w:tc>
          <w:tcPr>
            <w:tcW w:w="10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 PURCHASER AGENT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r>
      <w:tr>
        <w:trPr>
          <w:trHeight w:val="302"/>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7.01</w:t>
            </w:r>
          </w:p>
        </w:tc>
        <w:tc>
          <w:tcPr>
            <w:tcW w:w="8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Appointment and Authority</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r>
      <w:tr>
        <w:trPr>
          <w:trHeight w:val="216"/>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7.02</w:t>
            </w:r>
          </w:p>
        </w:tc>
        <w:tc>
          <w:tcPr>
            <w:tcW w:w="8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Rights as a Purchaser</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r>
      <w:tr>
        <w:trPr>
          <w:trHeight w:val="216"/>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7.03</w:t>
            </w:r>
          </w:p>
        </w:tc>
        <w:tc>
          <w:tcPr>
            <w:tcW w:w="8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Exculpatory Provisions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r>
      <w:tr>
        <w:trPr>
          <w:trHeight w:val="216"/>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7.04</w:t>
            </w:r>
          </w:p>
        </w:tc>
        <w:tc>
          <w:tcPr>
            <w:tcW w:w="8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Reliance by Purchaser Agent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r>
      <w:tr>
        <w:trPr>
          <w:trHeight w:val="216"/>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7.05</w:t>
            </w:r>
          </w:p>
        </w:tc>
        <w:tc>
          <w:tcPr>
            <w:tcW w:w="8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Delegation of Duties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r>
      <w:tr>
        <w:trPr>
          <w:trHeight w:val="216"/>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7.06</w:t>
            </w:r>
          </w:p>
        </w:tc>
        <w:tc>
          <w:tcPr>
            <w:tcW w:w="8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Resignation of Purchaser Agent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r>
      <w:tr>
        <w:trPr>
          <w:trHeight w:val="216"/>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7.07</w:t>
            </w:r>
          </w:p>
        </w:tc>
        <w:tc>
          <w:tcPr>
            <w:tcW w:w="8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Non-Reliance on Purchaser Agent and Other Purchasers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r>
      <w:tr>
        <w:trPr>
          <w:trHeight w:val="216"/>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7.08</w:t>
            </w:r>
          </w:p>
        </w:tc>
        <w:tc>
          <w:tcPr>
            <w:tcW w:w="8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Collateral and Guaranty Matters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r>
      <w:tr>
        <w:trPr>
          <w:trHeight w:val="238"/>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7.09</w:t>
            </w:r>
          </w:p>
        </w:tc>
        <w:tc>
          <w:tcPr>
            <w:tcW w:w="8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Reimbursement by Purchasers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r>
      <w:tr>
        <w:trPr>
          <w:trHeight w:val="324"/>
        </w:trPr>
        <w:tc>
          <w:tcPr>
            <w:tcW w:w="10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VIII MISCELLANEOUS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r>
      <w:tr>
        <w:trPr>
          <w:trHeight w:val="302"/>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8.01</w:t>
            </w:r>
          </w:p>
        </w:tc>
        <w:tc>
          <w:tcPr>
            <w:tcW w:w="8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Limitations on Damages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r>
      <w:tr>
        <w:trPr>
          <w:trHeight w:val="216"/>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8.02</w:t>
            </w:r>
          </w:p>
        </w:tc>
        <w:tc>
          <w:tcPr>
            <w:tcW w:w="8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Notices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r>
      <w:tr>
        <w:trPr>
          <w:trHeight w:val="216"/>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8.03</w:t>
            </w:r>
          </w:p>
        </w:tc>
        <w:tc>
          <w:tcPr>
            <w:tcW w:w="8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Successors and Assigns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r>
      <w:tr>
        <w:trPr>
          <w:trHeight w:val="216"/>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8.04</w:t>
            </w:r>
          </w:p>
        </w:tc>
        <w:tc>
          <w:tcPr>
            <w:tcW w:w="8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Indemnification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r>
      <w:tr>
        <w:trPr>
          <w:trHeight w:val="216"/>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8.05</w:t>
            </w:r>
          </w:p>
        </w:tc>
        <w:tc>
          <w:tcPr>
            <w:tcW w:w="8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No Implied Representations and Warranties; Survival of Representations and Warranties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r>
      <w:tr>
        <w:trPr>
          <w:trHeight w:val="216"/>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8.06</w:t>
            </w:r>
          </w:p>
        </w:tc>
        <w:tc>
          <w:tcPr>
            <w:tcW w:w="8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Independent Nature of Relationship</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r>
      <w:tr>
        <w:trPr>
          <w:trHeight w:val="216"/>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8.07</w:t>
            </w:r>
          </w:p>
        </w:tc>
        <w:tc>
          <w:tcPr>
            <w:tcW w:w="8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Entire Agreement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r>
      <w:tr>
        <w:trPr>
          <w:trHeight w:val="216"/>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8.08</w:t>
            </w:r>
          </w:p>
        </w:tc>
        <w:tc>
          <w:tcPr>
            <w:tcW w:w="8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Amendments; No Waivers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r>
      <w:tr>
        <w:trPr>
          <w:trHeight w:val="216"/>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8.09</w:t>
            </w:r>
          </w:p>
        </w:tc>
        <w:tc>
          <w:tcPr>
            <w:tcW w:w="8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Interpretation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r>
      <w:tr>
        <w:trPr>
          <w:trHeight w:val="216"/>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8.10</w:t>
            </w:r>
          </w:p>
        </w:tc>
        <w:tc>
          <w:tcPr>
            <w:tcW w:w="8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Headings and Captions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r>
      <w:tr>
        <w:trPr>
          <w:trHeight w:val="216"/>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8.11</w:t>
            </w:r>
          </w:p>
        </w:tc>
        <w:tc>
          <w:tcPr>
            <w:tcW w:w="8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Counterparts; Effectiveness; Electronic Signature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r>
      <w:tr>
        <w:trPr>
          <w:trHeight w:val="216"/>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8.12</w:t>
            </w:r>
          </w:p>
        </w:tc>
        <w:tc>
          <w:tcPr>
            <w:tcW w:w="8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Severability</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r>
      <w:tr>
        <w:trPr>
          <w:trHeight w:val="216"/>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8.13</w:t>
            </w:r>
          </w:p>
        </w:tc>
        <w:tc>
          <w:tcPr>
            <w:tcW w:w="8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r>
      <w:tr>
        <w:trPr>
          <w:trHeight w:val="216"/>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8.14</w:t>
            </w:r>
          </w:p>
        </w:tc>
        <w:tc>
          <w:tcPr>
            <w:tcW w:w="8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Governing Law; Jurisdiction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r>
      <w:tr>
        <w:trPr>
          <w:trHeight w:val="238"/>
        </w:trPr>
        <w:tc>
          <w:tcPr>
            <w:tcW w:w="1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8.15</w:t>
            </w:r>
          </w:p>
        </w:tc>
        <w:tc>
          <w:tcPr>
            <w:tcW w:w="8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Waiver of Jury Trial</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6" w:right="49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SCHEDULES</w:t>
            </w:r>
          </w:p>
        </w:tc>
        <w:tc>
          <w:tcPr>
            <w:tcW w:w="46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283"/>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Schedule 1.01(b)</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Purchaser Commitments</w:t>
            </w:r>
          </w:p>
        </w:tc>
      </w:tr>
      <w:tr>
        <w:trPr>
          <w:trHeight w:val="345"/>
        </w:trPr>
        <w:tc>
          <w:tcPr>
            <w:tcW w:w="12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83"/>
        </w:trPr>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A</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Compliance Certificate</w:t>
            </w:r>
          </w:p>
        </w:tc>
      </w:tr>
      <w:tr>
        <w:trPr>
          <w:trHeight w:val="196"/>
        </w:trPr>
        <w:tc>
          <w:tcPr>
            <w:tcW w:w="74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7"/>
              </w:rPr>
              <w:t>Exhibit B</w:t>
            </w:r>
          </w:p>
        </w:tc>
        <w:tc>
          <w:tcPr>
            <w:tcW w:w="680" w:type="dxa"/>
            <w:vAlign w:val="bottom"/>
            <w:gridSpan w:val="2"/>
          </w:tcPr>
          <w:p>
            <w:pPr>
              <w:spacing w:after="0"/>
              <w:rPr>
                <w:sz w:val="17"/>
                <w:szCs w:val="17"/>
                <w:color w:val="auto"/>
              </w:rPr>
            </w:pPr>
          </w:p>
        </w:tc>
        <w:tc>
          <w:tcPr>
            <w:tcW w:w="4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56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Form of Guaranty</w:t>
            </w:r>
          </w:p>
        </w:tc>
      </w:tr>
      <w:tr>
        <w:trPr>
          <w:trHeight w:val="196"/>
        </w:trPr>
        <w:tc>
          <w:tcPr>
            <w:tcW w:w="14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Exhibit C</w:t>
            </w:r>
          </w:p>
        </w:tc>
        <w:tc>
          <w:tcPr>
            <w:tcW w:w="4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56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Form of Payment Notice</w:t>
            </w:r>
          </w:p>
        </w:tc>
      </w:tr>
      <w:tr>
        <w:trPr>
          <w:trHeight w:val="20"/>
        </w:trPr>
        <w:tc>
          <w:tcPr>
            <w:tcW w:w="74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96"/>
        </w:trPr>
        <w:tc>
          <w:tcPr>
            <w:tcW w:w="14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Exhibit D</w:t>
            </w:r>
          </w:p>
        </w:tc>
        <w:tc>
          <w:tcPr>
            <w:tcW w:w="4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56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w w:val="98"/>
              </w:rPr>
              <w:t>Customary Subordination Terms</w:t>
            </w:r>
          </w:p>
        </w:tc>
      </w:tr>
      <w:tr>
        <w:trPr>
          <w:trHeight w:val="20"/>
        </w:trPr>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right"/>
        <w:ind w:right="44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019"/>
          </w:cols>
          <w:pgMar w:left="440" w:top="266" w:right="1440"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REVENUE INTEREST PURCHASE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REVENUE INTEREST PURCHASE AGREEMENT</w:t>
      </w:r>
      <w:r>
        <w:rPr>
          <w:rFonts w:ascii="Times New Roman" w:cs="Times New Roman" w:eastAsia="Times New Roman" w:hAnsi="Times New Roman"/>
          <w:sz w:val="18"/>
          <w:szCs w:val="18"/>
          <w:color w:val="auto"/>
        </w:rPr>
        <w:t xml:space="preserve"> (as amended, supplemented or otherwise modified from time to time, this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December 29, 2023, by and among ImmunityBio,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Purchasers from time to time party hereto (each,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and Infinity SA LLC, as collateral agent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for the Purchasers (the “</w:t>
      </w:r>
      <w:r>
        <w:rPr>
          <w:rFonts w:ascii="Times New Roman" w:cs="Times New Roman" w:eastAsia="Times New Roman" w:hAnsi="Times New Roman"/>
          <w:sz w:val="18"/>
          <w:szCs w:val="18"/>
          <w:u w:val="single" w:color="auto"/>
          <w:color w:val="auto"/>
        </w:rPr>
        <w:t>Purchaser Agent</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wishes to obtain financing to support the further development and commercialization of the Included Products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hereinafter defined) and other general corporate purposes; and</w:t>
      </w:r>
    </w:p>
    <w:p>
      <w:pPr>
        <w:spacing w:after="0" w:line="155"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Purchasers wish to purchase the Revenue Interests (as hereinafter defined) from the Company, and the Company wishes to sell,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collaterally assign and transfer the Revenue Interests to the Purchasers in consideration for its payment of the Purchaser Payments (as hereinafter defined) all upon and subject to the terms and conditions hereinafter set forth.</w:t>
      </w:r>
    </w:p>
    <w:p>
      <w:pPr>
        <w:spacing w:after="0" w:line="171"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mutual covenants, agreements, representations and warranties set forth herein, the parties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 as follows:</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1.01 </w:t>
      </w:r>
      <w:r>
        <w:rPr>
          <w:rFonts w:ascii="Times New Roman" w:cs="Times New Roman" w:eastAsia="Times New Roman" w:hAnsi="Times New Roman"/>
          <w:sz w:val="18"/>
          <w:szCs w:val="18"/>
          <w:u w:val="single" w:color="auto"/>
          <w:color w:val="auto"/>
        </w:rPr>
        <w:t>Definitions.</w:t>
      </w:r>
    </w:p>
    <w:p>
      <w:pPr>
        <w:spacing w:after="0" w:line="12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following terms that are defined in the UCC (as hereinafter defined) are used in this Agreement as so defined (and, in the event any such term is defined differently for purposes of Article 9 of the UCC than for any other purpose or purposes of the UCC, the Article 9 definition shall govern): Account, Chattel Paper, Commercial Tort Claim, Commodity Account, Commodity Intermediary, Deposit Accounts, Documents, Electronic Chattel Paper, Equipment, General Intangibles, Goods, Instruments, Inventory, Investment Property, Letter of Credit Rights, Proceeds, Securities Account, Securities Intermediary and Tangible Chattel Paper. In addition, the following, as used herein, shall have the following meanings:</w:t>
      </w:r>
    </w:p>
    <w:p>
      <w:pPr>
        <w:spacing w:after="0" w:line="183"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means (a) any transaction, or any series of related transactions, by which any Person directly or indirectly, by means of a take-over bid, tender offer, amalgamation, merger, purchase of assets or similar transaction having the same effect as any of the foregoing, (i) acquires any business, product, business line or product line or all or substantially all of the assets of any Person, business, product, business line or product line, division or other unit operation of any Person, (ii) acquires control of securities of a Person engaged in a business representing more than 50% of the ordinary voting power for the election of directors or other governing body if the business affairs of such Person are managed by a board of directors or other governing body or (iii) acquires control of more than 50% of the ownership interest in any Person engaged in any business that is not managed by a board of directors or other governing body and (b) any In-License.</w:t>
      </w:r>
    </w:p>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Cost</w:t>
      </w:r>
      <w:r>
        <w:rPr>
          <w:rFonts w:ascii="Times New Roman" w:cs="Times New Roman" w:eastAsia="Times New Roman" w:hAnsi="Times New Roman"/>
          <w:sz w:val="18"/>
          <w:szCs w:val="18"/>
          <w:color w:val="auto"/>
        </w:rPr>
        <w:t>” means consideration paid or payable for an Acquisition (including, without limitation, all milestone, maintenance and/or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similar payments, earnouts (whether earned or contingent), deferred purchase price and any other contractual commitment, whether fixed or contingent).</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0"/>
          </w:cols>
          <w:pgMar w:left="440" w:top="266" w:right="479" w:bottom="1440" w:gutter="0" w:footer="0" w:header="0"/>
        </w:sectPr>
      </w:pPr>
    </w:p>
    <w:bookmarkStart w:id="18" w:name="page19"/>
    <w:bookmarkEnd w:id="18"/>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Controls, is Controlled by, or is under common Control with another Person. Unless the context otherwise requires, “Affiliate” refers to an Affiliate of the Company (and includes any Subsidiary of the Company).</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 Agreements</w:t>
      </w:r>
      <w:r>
        <w:rPr>
          <w:rFonts w:ascii="Times New Roman" w:cs="Times New Roman" w:eastAsia="Times New Roman" w:hAnsi="Times New Roman"/>
          <w:sz w:val="18"/>
          <w:szCs w:val="18"/>
          <w:color w:val="auto"/>
        </w:rPr>
        <w:t xml:space="preserve">” means (x) that certain Amended and Restated Shared Services Agreement, dated as of June 28, 2016, as amended, supplemented or otherwise modified from time to time in compliance with this Agreement and (y) other arrangements between the Obligors and their Affiliates existing on the Closing Date and disclosed on </w:t>
      </w:r>
      <w:r>
        <w:rPr>
          <w:rFonts w:ascii="Times New Roman" w:cs="Times New Roman" w:eastAsia="Times New Roman" w:hAnsi="Times New Roman"/>
          <w:sz w:val="18"/>
          <w:szCs w:val="18"/>
          <w:u w:val="single" w:color="auto"/>
          <w:color w:val="auto"/>
        </w:rPr>
        <w:t>Schedule 5.11(a)(xiii)(1)</w:t>
      </w:r>
      <w:r>
        <w:rPr>
          <w:rFonts w:ascii="Times New Roman" w:cs="Times New Roman" w:eastAsia="Times New Roman" w:hAnsi="Times New Roman"/>
          <w:sz w:val="18"/>
          <w:szCs w:val="18"/>
          <w:color w:val="auto"/>
        </w:rPr>
        <w:t xml:space="preserve"> to the Disclosure Letter (and any amendment thereto or replacement thereof to the extent such an amendment or replacement is (i) at least as favorable in all material respects to the Company and its Subsidiaries as was the original transaction and (ii) not adverse to the interests of the Purchasers).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first paragraph hereof.</w:t>
      </w:r>
    </w:p>
    <w:p>
      <w:pPr>
        <w:spacing w:after="0" w:line="225"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means, with respect to any Person, all laws, rules, regulations and orders of Governmental Authorities applicable to such Person or any of its properties or assets.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Annual Net Sales</w:t>
      </w:r>
      <w:r>
        <w:rPr>
          <w:rFonts w:ascii="Times New Roman" w:cs="Times New Roman" w:eastAsia="Times New Roman" w:hAnsi="Times New Roman"/>
          <w:sz w:val="18"/>
          <w:szCs w:val="18"/>
          <w:color w:val="auto"/>
        </w:rPr>
        <w:t>” means, with respect to any calendar year, the amount of Net Sales of all Included Products for such calendar year.</w:t>
      </w:r>
    </w:p>
    <w:p>
      <w:pPr>
        <w:spacing w:after="0" w:line="225" w:lineRule="exact"/>
        <w:rPr>
          <w:sz w:val="20"/>
          <w:szCs w:val="20"/>
          <w:color w:val="auto"/>
        </w:rPr>
      </w:pPr>
    </w:p>
    <w:p>
      <w:pPr>
        <w:ind w:right="20" w:firstLine="440"/>
        <w:spacing w:after="0" w:line="22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Anktiva</w:t>
      </w:r>
      <w:r>
        <w:rPr>
          <w:rFonts w:ascii="Times New Roman" w:cs="Times New Roman" w:eastAsia="Times New Roman" w:hAnsi="Times New Roman"/>
          <w:sz w:val="18"/>
          <w:szCs w:val="18"/>
          <w:color w:val="auto"/>
        </w:rPr>
        <w:t>” means any pharmaceutical product or treatment comprising or containing the interleukin-15 superagonist complex named N-803 (or ALT-803), in any formulation, dose or dosage form, under any brand name, including Anktiva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or as an authorized generic product, and any derivative, improvement, enhancement, modification or subsequent iteration of any of the foregoing.</w:t>
      </w:r>
    </w:p>
    <w:p>
      <w:pPr>
        <w:spacing w:after="0" w:line="1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right="400" w:firstLine="436"/>
        <w:spacing w:after="0" w:line="282" w:lineRule="auto"/>
        <w:tabs>
          <w:tab w:leader="none" w:pos="68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any date of determination for any full or partial calendar year occurring prior to the Second Purchaser Payment Date, the percentage based on the applicable portion of Annual Net Sales for such calendar year as set forth in the chart below:</w:t>
      </w:r>
    </w:p>
    <w:p>
      <w:pPr>
        <w:spacing w:after="0" w:line="17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60" w:type="dxa"/>
            <w:vAlign w:val="bottom"/>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Portion of Annual Net</w:t>
            </w: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Tier</w:t>
            </w:r>
          </w:p>
        </w:tc>
        <w:tc>
          <w:tcPr>
            <w:tcW w:w="3460" w:type="dxa"/>
            <w:vAlign w:val="bottom"/>
            <w:gridSpan w:val="2"/>
          </w:tcPr>
          <w:p>
            <w:pPr>
              <w:ind w:left="148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4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Applicable Percentage</w:t>
            </w:r>
          </w:p>
        </w:tc>
        <w:tc>
          <w:tcPr>
            <w:tcW w:w="0" w:type="dxa"/>
            <w:vAlign w:val="bottom"/>
          </w:tcPr>
          <w:p>
            <w:pPr>
              <w:spacing w:after="0"/>
              <w:rPr>
                <w:sz w:val="1"/>
                <w:szCs w:val="1"/>
                <w:color w:val="auto"/>
              </w:rPr>
            </w:pPr>
          </w:p>
        </w:tc>
      </w:tr>
      <w:tr>
        <w:trPr>
          <w:trHeight w:val="135"/>
        </w:trPr>
        <w:tc>
          <w:tcPr>
            <w:tcW w:w="280" w:type="dxa"/>
            <w:vAlign w:val="bottom"/>
            <w:tcBorders>
              <w:top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32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700" w:type="dxa"/>
            <w:vAlign w:val="bottom"/>
            <w:tcBorders>
              <w:top w:val="single" w:sz="8" w:color="auto"/>
            </w:tcBorders>
            <w:gridSpan w:val="2"/>
          </w:tcPr>
          <w:p>
            <w:pPr>
              <w:jc w:val="center"/>
              <w:ind w:right="23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At all times from and</w:t>
            </w:r>
          </w:p>
        </w:tc>
        <w:tc>
          <w:tcPr>
            <w:tcW w:w="2540" w:type="dxa"/>
            <w:vAlign w:val="bottom"/>
            <w:tcBorders>
              <w:top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At all times from and after</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i w:val="1"/>
                <w:iCs w:val="1"/>
                <w:color w:val="auto"/>
              </w:rPr>
              <w:t>At all times prior to</w:t>
            </w:r>
          </w:p>
        </w:tc>
        <w:tc>
          <w:tcPr>
            <w:tcW w:w="1700" w:type="dxa"/>
            <w:vAlign w:val="bottom"/>
            <w:gridSpan w:val="2"/>
          </w:tcPr>
          <w:p>
            <w:pPr>
              <w:jc w:val="center"/>
              <w:ind w:right="23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after the Test Date, if a</w:t>
            </w: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w w:val="99"/>
              </w:rPr>
              <w:t>the Test Date, if a</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700" w:type="dxa"/>
            <w:vAlign w:val="bottom"/>
            <w:gridSpan w:val="2"/>
          </w:tcPr>
          <w:p>
            <w:pPr>
              <w:jc w:val="center"/>
              <w:ind w:right="23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Test Date Shortfall has</w:t>
            </w: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Test Date Shortfall has</w:t>
            </w: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i w:val="1"/>
                <w:iCs w:val="1"/>
                <w:color w:val="auto"/>
              </w:rPr>
              <w:t>the Test Date:</w:t>
            </w:r>
          </w:p>
        </w:tc>
        <w:tc>
          <w:tcPr>
            <w:tcW w:w="1700" w:type="dxa"/>
            <w:vAlign w:val="bottom"/>
            <w:gridSpan w:val="2"/>
          </w:tcPr>
          <w:p>
            <w:pPr>
              <w:jc w:val="center"/>
              <w:ind w:right="230"/>
              <w:spacing w:after="0"/>
              <w:rPr>
                <w:sz w:val="20"/>
                <w:szCs w:val="20"/>
                <w:color w:val="auto"/>
              </w:rPr>
            </w:pPr>
            <w:r>
              <w:rPr>
                <w:rFonts w:ascii="Times New Roman" w:cs="Times New Roman" w:eastAsia="Times New Roman" w:hAnsi="Times New Roman"/>
                <w:sz w:val="14"/>
                <w:szCs w:val="14"/>
                <w:b w:val="1"/>
                <w:bCs w:val="1"/>
                <w:i w:val="1"/>
                <w:iCs w:val="1"/>
                <w:color w:val="auto"/>
              </w:rPr>
              <w:t>not occurred:</w:t>
            </w: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occurred:</w:t>
            </w:r>
          </w:p>
        </w:tc>
        <w:tc>
          <w:tcPr>
            <w:tcW w:w="0" w:type="dxa"/>
            <w:vAlign w:val="bottom"/>
          </w:tcPr>
          <w:p>
            <w:pPr>
              <w:spacing w:after="0"/>
              <w:rPr>
                <w:sz w:val="1"/>
                <w:szCs w:val="1"/>
                <w:color w:val="auto"/>
              </w:rPr>
            </w:pPr>
          </w:p>
        </w:tc>
      </w:tr>
      <w:tr>
        <w:trPr>
          <w:trHeight w:val="198"/>
        </w:trPr>
        <w:tc>
          <w:tcPr>
            <w:tcW w:w="940" w:type="dxa"/>
            <w:vAlign w:val="bottom"/>
            <w:tcBorders>
              <w:top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Tier 1</w:t>
            </w:r>
          </w:p>
        </w:tc>
        <w:tc>
          <w:tcPr>
            <w:tcW w:w="3460" w:type="dxa"/>
            <w:vAlign w:val="bottom"/>
            <w:tcBorders>
              <w:top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With respect to Annual Net Sales of</w:t>
            </w:r>
          </w:p>
        </w:tc>
        <w:tc>
          <w:tcPr>
            <w:tcW w:w="116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7.00</w:t>
            </w:r>
          </w:p>
        </w:tc>
        <w:tc>
          <w:tcPr>
            <w:tcW w:w="320" w:type="dxa"/>
            <w:vAlign w:val="bottom"/>
            <w:tcBorders>
              <w:top w:val="single" w:sz="8" w:color="CCEEFF"/>
            </w:tcBorders>
            <w:shd w:val="clear" w:color="auto" w:fill="CCEEFF"/>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w w:val="93"/>
              </w:rPr>
              <w:t>%</w:t>
            </w:r>
          </w:p>
        </w:tc>
        <w:tc>
          <w:tcPr>
            <w:tcW w:w="138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1.50</w:t>
            </w:r>
          </w:p>
        </w:tc>
        <w:tc>
          <w:tcPr>
            <w:tcW w:w="320" w:type="dxa"/>
            <w:vAlign w:val="bottom"/>
            <w:tcBorders>
              <w:top w:val="single" w:sz="8" w:color="CCEEFF"/>
            </w:tcBorders>
            <w:shd w:val="clear" w:color="auto" w:fill="CCEEFF"/>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w w:val="79"/>
              </w:rPr>
              <w:t>%</w:t>
            </w:r>
          </w:p>
        </w:tc>
        <w:tc>
          <w:tcPr>
            <w:tcW w:w="254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To be calculated</w:t>
            </w:r>
          </w:p>
        </w:tc>
        <w:tc>
          <w:tcPr>
            <w:tcW w:w="0" w:type="dxa"/>
            <w:vAlign w:val="bottom"/>
          </w:tcPr>
          <w:p>
            <w:pPr>
              <w:spacing w:after="0"/>
              <w:rPr>
                <w:sz w:val="1"/>
                <w:szCs w:val="1"/>
                <w:color w:val="auto"/>
              </w:rPr>
            </w:pPr>
          </w:p>
        </w:tc>
      </w:tr>
      <w:tr>
        <w:trPr>
          <w:trHeight w:val="248"/>
        </w:trPr>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$600,000,000 or less.</w:t>
            </w:r>
          </w:p>
        </w:tc>
        <w:tc>
          <w:tcPr>
            <w:tcW w:w="1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pursuant to the subsequent proviso.</w:t>
            </w:r>
          </w:p>
        </w:tc>
        <w:tc>
          <w:tcPr>
            <w:tcW w:w="0" w:type="dxa"/>
            <w:vAlign w:val="bottom"/>
          </w:tcPr>
          <w:p>
            <w:pPr>
              <w:spacing w:after="0"/>
              <w:rPr>
                <w:sz w:val="1"/>
                <w:szCs w:val="1"/>
                <w:color w:val="auto"/>
              </w:rPr>
            </w:pPr>
          </w:p>
        </w:tc>
      </w:tr>
      <w:tr>
        <w:trPr>
          <w:trHeight w:val="198"/>
        </w:trPr>
        <w:tc>
          <w:tcPr>
            <w:tcW w:w="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Tier 2</w:t>
            </w:r>
          </w:p>
        </w:tc>
        <w:tc>
          <w:tcPr>
            <w:tcW w:w="34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With respect to Annual Net Sales in excess of</w:t>
            </w:r>
          </w:p>
        </w:tc>
        <w:tc>
          <w:tcPr>
            <w:tcW w:w="1480" w:type="dxa"/>
            <w:vAlign w:val="bottom"/>
            <w:gridSpan w:val="2"/>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3.00%</w:t>
            </w:r>
          </w:p>
        </w:tc>
        <w:tc>
          <w:tcPr>
            <w:tcW w:w="1700" w:type="dxa"/>
            <w:vAlign w:val="bottom"/>
            <w:gridSpan w:val="2"/>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1.50%</w:t>
            </w:r>
          </w:p>
        </w:tc>
        <w:tc>
          <w:tcPr>
            <w:tcW w:w="25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To be calculated</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$600,000,000.</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pursuant to the subsequent proviso.</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right="160" w:firstLine="436"/>
        <w:spacing w:after="0" w:line="266" w:lineRule="auto"/>
        <w:tabs>
          <w:tab w:leader="none" w:pos="6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any date of determination for any full or partial calendar year occurring after the Second </w:t>
      </w:r>
      <w:r>
        <w:rPr>
          <w:rFonts w:ascii="Times New Roman" w:cs="Times New Roman" w:eastAsia="Times New Roman" w:hAnsi="Times New Roman"/>
          <w:sz w:val="18"/>
          <w:szCs w:val="18"/>
          <w:u w:val="single" w:color="auto"/>
          <w:color w:val="0000FF"/>
        </w:rPr>
        <w:t>Purchaser Payment Date but prior to the Third</w:t>
      </w:r>
      <w:r>
        <w:rPr>
          <w:rFonts w:ascii="Times New Roman" w:cs="Times New Roman" w:eastAsia="Times New Roman" w:hAnsi="Times New Roman"/>
          <w:sz w:val="18"/>
          <w:szCs w:val="18"/>
          <w:color w:val="auto"/>
        </w:rPr>
        <w:t xml:space="preserve"> Purchaser Payment Date during the Term, the percentage based on the applicable portion of Annual Net Sales for such calendar year as set forth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4746625</wp:posOffset>
            </wp:positionH>
            <wp:positionV relativeFrom="paragraph">
              <wp:posOffset>-278765</wp:posOffset>
            </wp:positionV>
            <wp:extent cx="21170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19" w:name="page20"/>
    <w:bookmarkEnd w:id="19"/>
    <w:tbl>
      <w:tblPr>
        <w:tblLayout w:type="fixed"/>
        <w:tblInd w:w="44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540" w:type="dxa"/>
            <w:vAlign w:val="bottom"/>
            <w:gridSpan w:val="2"/>
          </w:tcPr>
          <w:p>
            <w:pPr>
              <w:ind w:left="980"/>
              <w:spacing w:after="0"/>
              <w:rPr>
                <w:sz w:val="20"/>
                <w:szCs w:val="20"/>
                <w:color w:val="auto"/>
              </w:rPr>
            </w:pPr>
            <w:r>
              <w:rPr>
                <w:rFonts w:ascii="Times New Roman" w:cs="Times New Roman" w:eastAsia="Times New Roman" w:hAnsi="Times New Roman"/>
                <w:sz w:val="14"/>
                <w:szCs w:val="14"/>
                <w:b w:val="1"/>
                <w:bCs w:val="1"/>
                <w:color w:val="auto"/>
              </w:rPr>
              <w:t>Portion of Annual Net</w:t>
            </w:r>
          </w:p>
        </w:tc>
        <w:tc>
          <w:tcPr>
            <w:tcW w:w="1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Tier</w:t>
            </w:r>
          </w:p>
        </w:tc>
        <w:tc>
          <w:tcPr>
            <w:tcW w:w="3540" w:type="dxa"/>
            <w:vAlign w:val="bottom"/>
            <w:gridSpan w:val="2"/>
          </w:tcPr>
          <w:p>
            <w:pPr>
              <w:ind w:left="150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Applicable Percentage</w:t>
            </w: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80" w:type="dxa"/>
            <w:vAlign w:val="bottom"/>
            <w:tcBorders>
              <w:top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33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780" w:type="dxa"/>
            <w:vAlign w:val="bottom"/>
            <w:tcBorders>
              <w:top w:val="single" w:sz="8" w:color="auto"/>
            </w:tcBorders>
            <w:gridSpan w:val="2"/>
          </w:tcPr>
          <w:p>
            <w:pPr>
              <w:jc w:val="center"/>
              <w:ind w:right="35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At all times from and</w:t>
            </w:r>
          </w:p>
        </w:tc>
        <w:tc>
          <w:tcPr>
            <w:tcW w:w="2000" w:type="dxa"/>
            <w:vAlign w:val="bottom"/>
            <w:tcBorders>
              <w:top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At all times from and after</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vMerge w:val="restart"/>
          </w:tcPr>
          <w:p>
            <w:pPr>
              <w:jc w:val="right"/>
              <w:ind w:right="350"/>
              <w:spacing w:after="0"/>
              <w:rPr>
                <w:sz w:val="20"/>
                <w:szCs w:val="20"/>
                <w:color w:val="auto"/>
              </w:rPr>
            </w:pPr>
            <w:r>
              <w:rPr>
                <w:rFonts w:ascii="Times New Roman" w:cs="Times New Roman" w:eastAsia="Times New Roman" w:hAnsi="Times New Roman"/>
                <w:sz w:val="14"/>
                <w:szCs w:val="14"/>
                <w:b w:val="1"/>
                <w:bCs w:val="1"/>
                <w:i w:val="1"/>
                <w:iCs w:val="1"/>
                <w:color w:val="auto"/>
              </w:rPr>
              <w:t>At all times prior to</w:t>
            </w:r>
          </w:p>
        </w:tc>
        <w:tc>
          <w:tcPr>
            <w:tcW w:w="1780" w:type="dxa"/>
            <w:vAlign w:val="bottom"/>
            <w:gridSpan w:val="2"/>
          </w:tcPr>
          <w:p>
            <w:pPr>
              <w:jc w:val="center"/>
              <w:ind w:right="33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after the Test Date, if a</w:t>
            </w:r>
          </w:p>
        </w:tc>
        <w:tc>
          <w:tcPr>
            <w:tcW w:w="2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the Test Date, if a</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780" w:type="dxa"/>
            <w:vAlign w:val="bottom"/>
            <w:gridSpan w:val="2"/>
          </w:tcPr>
          <w:p>
            <w:pPr>
              <w:jc w:val="center"/>
              <w:ind w:right="33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Test Date Shortfall has</w:t>
            </w:r>
          </w:p>
        </w:tc>
        <w:tc>
          <w:tcPr>
            <w:tcW w:w="2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Test Date Shortfall has</w:t>
            </w: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right"/>
              <w:ind w:right="530"/>
              <w:spacing w:after="0"/>
              <w:rPr>
                <w:sz w:val="20"/>
                <w:szCs w:val="20"/>
                <w:color w:val="auto"/>
              </w:rPr>
            </w:pPr>
            <w:r>
              <w:rPr>
                <w:rFonts w:ascii="Times New Roman" w:cs="Times New Roman" w:eastAsia="Times New Roman" w:hAnsi="Times New Roman"/>
                <w:sz w:val="14"/>
                <w:szCs w:val="14"/>
                <w:b w:val="1"/>
                <w:bCs w:val="1"/>
                <w:i w:val="1"/>
                <w:iCs w:val="1"/>
                <w:color w:val="auto"/>
              </w:rPr>
              <w:t>the Test Date:</w:t>
            </w:r>
          </w:p>
        </w:tc>
        <w:tc>
          <w:tcPr>
            <w:tcW w:w="1780" w:type="dxa"/>
            <w:vAlign w:val="bottom"/>
            <w:gridSpan w:val="2"/>
          </w:tcPr>
          <w:p>
            <w:pPr>
              <w:jc w:val="center"/>
              <w:ind w:right="330"/>
              <w:spacing w:after="0"/>
              <w:rPr>
                <w:sz w:val="20"/>
                <w:szCs w:val="20"/>
                <w:color w:val="auto"/>
              </w:rPr>
            </w:pPr>
            <w:r>
              <w:rPr>
                <w:rFonts w:ascii="Times New Roman" w:cs="Times New Roman" w:eastAsia="Times New Roman" w:hAnsi="Times New Roman"/>
                <w:sz w:val="14"/>
                <w:szCs w:val="14"/>
                <w:b w:val="1"/>
                <w:bCs w:val="1"/>
                <w:i w:val="1"/>
                <w:iCs w:val="1"/>
                <w:color w:val="auto"/>
              </w:rPr>
              <w:t>not occurred:</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occurred:</w:t>
            </w:r>
          </w:p>
        </w:tc>
        <w:tc>
          <w:tcPr>
            <w:tcW w:w="0" w:type="dxa"/>
            <w:vAlign w:val="bottom"/>
          </w:tcPr>
          <w:p>
            <w:pPr>
              <w:spacing w:after="0"/>
              <w:rPr>
                <w:sz w:val="1"/>
                <w:szCs w:val="1"/>
                <w:color w:val="auto"/>
              </w:rPr>
            </w:pPr>
          </w:p>
        </w:tc>
      </w:tr>
      <w:tr>
        <w:trPr>
          <w:trHeight w:val="198"/>
        </w:trPr>
        <w:tc>
          <w:tcPr>
            <w:tcW w:w="1200" w:type="dxa"/>
            <w:vAlign w:val="bottom"/>
            <w:tcBorders>
              <w:top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Tier 1</w:t>
            </w:r>
          </w:p>
        </w:tc>
        <w:tc>
          <w:tcPr>
            <w:tcW w:w="3540" w:type="dxa"/>
            <w:vAlign w:val="bottom"/>
            <w:tcBorders>
              <w:top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With respect to Annual Net Sales of</w:t>
            </w:r>
          </w:p>
        </w:tc>
        <w:tc>
          <w:tcPr>
            <w:tcW w:w="116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10.00</w:t>
            </w:r>
          </w:p>
        </w:tc>
        <w:tc>
          <w:tcPr>
            <w:tcW w:w="440" w:type="dxa"/>
            <w:vAlign w:val="bottom"/>
            <w:tcBorders>
              <w:top w:val="single" w:sz="8" w:color="CCEEFF"/>
            </w:tcBorders>
            <w:shd w:val="clear" w:color="auto" w:fill="CCEEFF"/>
          </w:tcPr>
          <w:p>
            <w:pPr>
              <w:jc w:val="right"/>
              <w:ind w:right="170"/>
              <w:spacing w:after="0" w:line="198"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2.25</w:t>
            </w:r>
          </w:p>
        </w:tc>
        <w:tc>
          <w:tcPr>
            <w:tcW w:w="420" w:type="dxa"/>
            <w:vAlign w:val="bottom"/>
            <w:tcBorders>
              <w:top w:val="single" w:sz="8" w:color="CCEEFF"/>
            </w:tcBorders>
            <w:shd w:val="clear" w:color="auto" w:fill="CCEEFF"/>
          </w:tcPr>
          <w:p>
            <w:pPr>
              <w:jc w:val="right"/>
              <w:ind w:right="150"/>
              <w:spacing w:after="0" w:line="198"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20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To be calculated pursuant</w:t>
            </w:r>
          </w:p>
        </w:tc>
        <w:tc>
          <w:tcPr>
            <w:tcW w:w="0" w:type="dxa"/>
            <w:vAlign w:val="bottom"/>
          </w:tcPr>
          <w:p>
            <w:pPr>
              <w:spacing w:after="0"/>
              <w:rPr>
                <w:sz w:val="1"/>
                <w:szCs w:val="1"/>
                <w:color w:val="auto"/>
              </w:rPr>
            </w:pPr>
          </w:p>
        </w:tc>
      </w:tr>
      <w:tr>
        <w:trPr>
          <w:trHeight w:val="248"/>
        </w:trPr>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$600,000,000 or less.</w:t>
            </w:r>
          </w:p>
        </w:tc>
        <w:tc>
          <w:tcPr>
            <w:tcW w:w="1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 the subsequent proviso.</w:t>
            </w:r>
          </w:p>
        </w:tc>
        <w:tc>
          <w:tcPr>
            <w:tcW w:w="0" w:type="dxa"/>
            <w:vAlign w:val="bottom"/>
          </w:tcPr>
          <w:p>
            <w:pPr>
              <w:spacing w:after="0"/>
              <w:rPr>
                <w:sz w:val="1"/>
                <w:szCs w:val="1"/>
                <w:color w:val="auto"/>
              </w:rPr>
            </w:pPr>
          </w:p>
        </w:tc>
      </w:tr>
      <w:tr>
        <w:trPr>
          <w:trHeight w:val="198"/>
        </w:trPr>
        <w:tc>
          <w:tcPr>
            <w:tcW w:w="1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Tier 2</w:t>
            </w:r>
          </w:p>
        </w:tc>
        <w:tc>
          <w:tcPr>
            <w:tcW w:w="35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With respect to Annual Net Sales in excess of</w:t>
            </w:r>
          </w:p>
        </w:tc>
        <w:tc>
          <w:tcPr>
            <w:tcW w:w="1600" w:type="dxa"/>
            <w:vAlign w:val="bottom"/>
            <w:gridSpan w:val="2"/>
          </w:tcPr>
          <w:p>
            <w:pPr>
              <w:jc w:val="right"/>
              <w:ind w:right="170"/>
              <w:spacing w:after="0" w:line="198" w:lineRule="exact"/>
              <w:rPr>
                <w:sz w:val="20"/>
                <w:szCs w:val="20"/>
                <w:color w:val="auto"/>
              </w:rPr>
            </w:pPr>
            <w:r>
              <w:rPr>
                <w:rFonts w:ascii="Times New Roman" w:cs="Times New Roman" w:eastAsia="Times New Roman" w:hAnsi="Times New Roman"/>
                <w:sz w:val="18"/>
                <w:szCs w:val="18"/>
                <w:b w:val="1"/>
                <w:bCs w:val="1"/>
                <w:color w:val="auto"/>
              </w:rPr>
              <w:t>4.50%</w:t>
            </w:r>
          </w:p>
        </w:tc>
        <w:tc>
          <w:tcPr>
            <w:tcW w:w="1780" w:type="dxa"/>
            <w:vAlign w:val="bottom"/>
            <w:gridSpan w:val="2"/>
          </w:tcPr>
          <w:p>
            <w:pPr>
              <w:jc w:val="right"/>
              <w:ind w:right="150"/>
              <w:spacing w:after="0" w:line="198" w:lineRule="exact"/>
              <w:rPr>
                <w:sz w:val="20"/>
                <w:szCs w:val="20"/>
                <w:color w:val="auto"/>
              </w:rPr>
            </w:pPr>
            <w:r>
              <w:rPr>
                <w:rFonts w:ascii="Times New Roman" w:cs="Times New Roman" w:eastAsia="Times New Roman" w:hAnsi="Times New Roman"/>
                <w:sz w:val="18"/>
                <w:szCs w:val="18"/>
                <w:b w:val="1"/>
                <w:bCs w:val="1"/>
                <w:color w:val="auto"/>
              </w:rPr>
              <w:t>2.25%</w:t>
            </w:r>
          </w:p>
        </w:tc>
        <w:tc>
          <w:tcPr>
            <w:tcW w:w="20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To be calculated pursuant</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$600,000,000.</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 the subsequent proviso.</w:t>
            </w:r>
          </w:p>
        </w:tc>
        <w:tc>
          <w:tcPr>
            <w:tcW w:w="0" w:type="dxa"/>
            <w:vAlign w:val="bottom"/>
          </w:tcPr>
          <w:p>
            <w:pPr>
              <w:spacing w:after="0"/>
              <w:rPr>
                <w:sz w:val="1"/>
                <w:szCs w:val="1"/>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140" w:firstLine="436"/>
        <w:spacing w:after="0" w:line="282" w:lineRule="auto"/>
        <w:tabs>
          <w:tab w:leader="none" w:pos="6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FF"/>
        </w:rPr>
        <w:t xml:space="preserve">as of any date of determination for any full or partial calendar year occurring on and after the Third Purchaser Payment Date during the Term, </w:t>
      </w:r>
      <w:r>
        <w:rPr>
          <w:rFonts w:ascii="Times New Roman" w:cs="Times New Roman" w:eastAsia="Times New Roman" w:hAnsi="Times New Roman"/>
          <w:sz w:val="18"/>
          <w:szCs w:val="18"/>
          <w:u w:val="single" w:color="auto"/>
          <w:color w:val="0000FF"/>
        </w:rPr>
        <w:t>the percentage based on the applicable portion of Annual Net Sales for such calendar year as set forth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-151130</wp:posOffset>
            </wp:positionV>
            <wp:extent cx="65151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15100" cy="8890"/>
                    </a:xfrm>
                    <a:prstGeom prst="rect">
                      <a:avLst/>
                    </a:prstGeom>
                    <a:noFill/>
                  </pic:spPr>
                </pic:pic>
              </a:graphicData>
            </a:graphic>
          </wp:anchor>
        </w:drawing>
        <w:drawing>
          <wp:anchor simplePos="0" relativeHeight="251657728" behindDoc="1" locked="0" layoutInCell="0" allowOverlap="1">
            <wp:simplePos x="0" y="0"/>
            <wp:positionH relativeFrom="column">
              <wp:posOffset>403860</wp:posOffset>
            </wp:positionH>
            <wp:positionV relativeFrom="paragraph">
              <wp:posOffset>-185420</wp:posOffset>
            </wp:positionV>
            <wp:extent cx="65081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081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55206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0000FF"/>
              </w:rPr>
              <w:t>Tier</w:t>
            </w: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580" w:type="dxa"/>
            <w:vAlign w:val="bottom"/>
            <w:gridSpan w:val="10"/>
          </w:tcPr>
          <w:p>
            <w:pPr>
              <w:jc w:val="center"/>
              <w:ind w:right="1220"/>
              <w:spacing w:after="0"/>
              <w:rPr>
                <w:sz w:val="20"/>
                <w:szCs w:val="20"/>
                <w:color w:val="auto"/>
              </w:rPr>
            </w:pPr>
            <w:r>
              <w:rPr>
                <w:rFonts w:ascii="Times New Roman" w:cs="Times New Roman" w:eastAsia="Times New Roman" w:hAnsi="Times New Roman"/>
                <w:sz w:val="14"/>
                <w:szCs w:val="14"/>
                <w:b w:val="1"/>
                <w:bCs w:val="1"/>
                <w:color w:val="0000FF"/>
              </w:rPr>
              <w:t>Portion of Annual Net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0000FF"/>
              </w:rPr>
              <w:t>Applicable Percentage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4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840" w:type="dxa"/>
            <w:vAlign w:val="bottom"/>
            <w:tcBorders>
              <w:top w:val="single" w:sz="8" w:color="0000FF"/>
            </w:tcBorders>
            <w:gridSpan w:val="4"/>
          </w:tcPr>
          <w:p>
            <w:pPr>
              <w:jc w:val="center"/>
              <w:ind w:right="520"/>
              <w:spacing w:after="0" w:line="115" w:lineRule="exact"/>
              <w:rPr>
                <w:sz w:val="20"/>
                <w:szCs w:val="20"/>
                <w:color w:val="auto"/>
              </w:rPr>
            </w:pPr>
            <w:r>
              <w:rPr>
                <w:rFonts w:ascii="Times New Roman" w:cs="Times New Roman" w:eastAsia="Times New Roman" w:hAnsi="Times New Roman"/>
                <w:sz w:val="13"/>
                <w:szCs w:val="13"/>
                <w:b w:val="1"/>
                <w:bCs w:val="1"/>
                <w:color w:val="0000FF"/>
              </w:rPr>
              <w:t>Sales</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6"/>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2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1880" w:type="dxa"/>
            <w:vAlign w:val="bottom"/>
            <w:tcBorders>
              <w:top w:val="single" w:sz="8" w:color="auto"/>
            </w:tcBorders>
            <w:gridSpan w:val="10"/>
          </w:tcPr>
          <w:p>
            <w:pPr>
              <w:jc w:val="center"/>
              <w:ind w:right="620"/>
              <w:spacing w:after="0" w:line="76" w:lineRule="exact"/>
              <w:rPr>
                <w:sz w:val="20"/>
                <w:szCs w:val="20"/>
                <w:color w:val="auto"/>
              </w:rPr>
            </w:pPr>
            <w:r>
              <w:rPr>
                <w:rFonts w:ascii="Times New Roman" w:cs="Times New Roman" w:eastAsia="Times New Roman" w:hAnsi="Times New Roman"/>
                <w:sz w:val="8"/>
                <w:szCs w:val="8"/>
                <w:b w:val="1"/>
                <w:bCs w:val="1"/>
                <w:i w:val="1"/>
                <w:iCs w:val="1"/>
                <w:color w:val="0000FF"/>
              </w:rPr>
              <w:t>At all times from and</w:t>
            </w:r>
          </w:p>
        </w:tc>
        <w:tc>
          <w:tcPr>
            <w:tcW w:w="2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12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0000FF"/>
              </w:rPr>
              <w:t>At all times from and</w:t>
            </w:r>
          </w:p>
        </w:tc>
        <w:tc>
          <w:tcPr>
            <w:tcW w:w="520" w:type="dxa"/>
            <w:vAlign w:val="bottom"/>
            <w:tcBorders>
              <w:top w:val="single" w:sz="8" w:color="auto"/>
            </w:tcBorders>
            <w:gridSpan w:val="8"/>
            <w:vMerge w:val="restart"/>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60" w:type="dxa"/>
            <w:vAlign w:val="bottom"/>
            <w:vMerge w:val="continue"/>
          </w:tcPr>
          <w:p>
            <w:pPr>
              <w:spacing w:after="0" w:line="20" w:lineRule="exact"/>
              <w:rPr>
                <w:sz w:val="1"/>
                <w:szCs w:val="1"/>
                <w:color w:val="auto"/>
              </w:rPr>
            </w:pPr>
          </w:p>
        </w:tc>
        <w:tc>
          <w:tcPr>
            <w:tcW w:w="520" w:type="dxa"/>
            <w:vAlign w:val="bottom"/>
            <w:gridSpan w:val="8"/>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0" w:type="dxa"/>
            <w:vAlign w:val="bottom"/>
            <w:gridSpan w:val="7"/>
            <w:vMerge w:val="restart"/>
          </w:tcPr>
          <w:p>
            <w:pPr>
              <w:jc w:val="right"/>
              <w:ind w:right="384"/>
              <w:spacing w:after="0"/>
              <w:rPr>
                <w:sz w:val="20"/>
                <w:szCs w:val="20"/>
                <w:color w:val="auto"/>
              </w:rPr>
            </w:pPr>
            <w:r>
              <w:rPr>
                <w:rFonts w:ascii="Times New Roman" w:cs="Times New Roman" w:eastAsia="Times New Roman" w:hAnsi="Times New Roman"/>
                <w:sz w:val="14"/>
                <w:szCs w:val="14"/>
                <w:b w:val="1"/>
                <w:bCs w:val="1"/>
                <w:i w:val="1"/>
                <w:iCs w:val="1"/>
                <w:color w:val="0000FF"/>
              </w:rPr>
              <w:t>At all times prior to</w:t>
            </w:r>
          </w:p>
        </w:tc>
        <w:tc>
          <w:tcPr>
            <w:tcW w:w="1920" w:type="dxa"/>
            <w:vAlign w:val="bottom"/>
            <w:gridSpan w:val="11"/>
          </w:tcPr>
          <w:p>
            <w:pPr>
              <w:jc w:val="center"/>
              <w:ind w:right="560"/>
              <w:spacing w:after="0" w:line="102" w:lineRule="exact"/>
              <w:rPr>
                <w:sz w:val="20"/>
                <w:szCs w:val="20"/>
                <w:color w:val="auto"/>
              </w:rPr>
            </w:pPr>
            <w:r>
              <w:rPr>
                <w:rFonts w:ascii="Times New Roman" w:cs="Times New Roman" w:eastAsia="Times New Roman" w:hAnsi="Times New Roman"/>
                <w:sz w:val="11"/>
                <w:szCs w:val="11"/>
                <w:b w:val="1"/>
                <w:bCs w:val="1"/>
                <w:i w:val="1"/>
                <w:iCs w:val="1"/>
                <w:u w:val="single" w:color="auto"/>
                <w:color w:val="0000FF"/>
              </w:rPr>
              <w:t>a</w:t>
            </w:r>
            <w:r>
              <w:rPr>
                <w:rFonts w:ascii="Times New Roman" w:cs="Times New Roman" w:eastAsia="Times New Roman" w:hAnsi="Times New Roman"/>
                <w:sz w:val="11"/>
                <w:szCs w:val="11"/>
                <w:b w:val="1"/>
                <w:bCs w:val="1"/>
                <w:i w:val="1"/>
                <w:iCs w:val="1"/>
                <w:color w:val="0000FF"/>
                <w:strike w:val="1"/>
              </w:rPr>
              <w:t>fter the Test Date, if</w:t>
            </w:r>
            <w:r>
              <w:rPr>
                <w:rFonts w:ascii="Times New Roman" w:cs="Times New Roman" w:eastAsia="Times New Roman" w:hAnsi="Times New Roman"/>
                <w:sz w:val="11"/>
                <w:szCs w:val="11"/>
                <w:b w:val="1"/>
                <w:bCs w:val="1"/>
                <w:i w:val="1"/>
                <w:iCs w:val="1"/>
                <w:color w:val="0000FF"/>
              </w:rPr>
              <w:t xml:space="preserve"> a</w:t>
            </w: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1260" w:type="dxa"/>
            <w:vAlign w:val="bottom"/>
            <w:tcBorders>
              <w:bottom w:val="single" w:sz="8" w:color="0000FF"/>
            </w:tcBorders>
            <w:vMerge w:val="continue"/>
          </w:tcPr>
          <w:p>
            <w:pPr>
              <w:spacing w:after="0"/>
              <w:rPr>
                <w:sz w:val="11"/>
                <w:szCs w:val="11"/>
                <w:color w:val="auto"/>
              </w:rPr>
            </w:pPr>
          </w:p>
        </w:tc>
        <w:tc>
          <w:tcPr>
            <w:tcW w:w="52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0" w:type="dxa"/>
            <w:vAlign w:val="bottom"/>
            <w:gridSpan w:val="7"/>
            <w:vMerge w:val="continue"/>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1320" w:type="dxa"/>
            <w:vAlign w:val="bottom"/>
            <w:tcBorders>
              <w:top w:val="single" w:sz="8" w:color="0000FF"/>
            </w:tcBorders>
            <w:gridSpan w:val="8"/>
          </w:tcPr>
          <w:p>
            <w:pPr>
              <w:jc w:val="center"/>
              <w:ind w:right="40"/>
              <w:spacing w:after="0" w:line="102" w:lineRule="exact"/>
              <w:rPr>
                <w:sz w:val="20"/>
                <w:szCs w:val="20"/>
                <w:color w:val="auto"/>
              </w:rPr>
            </w:pPr>
            <w:r>
              <w:rPr>
                <w:rFonts w:ascii="Times New Roman" w:cs="Times New Roman" w:eastAsia="Times New Roman" w:hAnsi="Times New Roman"/>
                <w:sz w:val="11"/>
                <w:szCs w:val="11"/>
                <w:b w:val="1"/>
                <w:bCs w:val="1"/>
                <w:i w:val="1"/>
                <w:iCs w:val="1"/>
                <w:color w:val="0000FF"/>
              </w:rPr>
              <w:t>Test Date Shortfall</w:t>
            </w:r>
          </w:p>
        </w:tc>
        <w:tc>
          <w:tcPr>
            <w:tcW w:w="5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20" w:type="dxa"/>
            <w:vAlign w:val="bottom"/>
            <w:gridSpan w:val="10"/>
          </w:tcPr>
          <w:p>
            <w:pPr>
              <w:jc w:val="center"/>
              <w:ind w:right="480"/>
              <w:spacing w:after="0" w:line="95" w:lineRule="exact"/>
              <w:rPr>
                <w:sz w:val="20"/>
                <w:szCs w:val="20"/>
                <w:color w:val="auto"/>
              </w:rPr>
            </w:pPr>
            <w:r>
              <w:rPr>
                <w:rFonts w:ascii="Times New Roman" w:cs="Times New Roman" w:eastAsia="Times New Roman" w:hAnsi="Times New Roman"/>
                <w:sz w:val="11"/>
                <w:szCs w:val="11"/>
                <w:b w:val="1"/>
                <w:bCs w:val="1"/>
                <w:i w:val="1"/>
                <w:iCs w:val="1"/>
                <w:u w:val="single" w:color="auto"/>
                <w:color w:val="0000FF"/>
              </w:rPr>
              <w:t>a</w:t>
            </w:r>
            <w:r>
              <w:rPr>
                <w:rFonts w:ascii="Times New Roman" w:cs="Times New Roman" w:eastAsia="Times New Roman" w:hAnsi="Times New Roman"/>
                <w:sz w:val="11"/>
                <w:szCs w:val="11"/>
                <w:b w:val="1"/>
                <w:bCs w:val="1"/>
                <w:i w:val="1"/>
                <w:iCs w:val="1"/>
                <w:color w:val="0000FF"/>
                <w:strike w:val="1"/>
              </w:rPr>
              <w:t>fter the Test Date, if</w:t>
            </w:r>
            <w:r>
              <w:rPr>
                <w:rFonts w:ascii="Times New Roman" w:cs="Times New Roman" w:eastAsia="Times New Roman" w:hAnsi="Times New Roman"/>
                <w:sz w:val="11"/>
                <w:szCs w:val="11"/>
                <w:b w:val="1"/>
                <w:bCs w:val="1"/>
                <w:i w:val="1"/>
                <w:iCs w:val="1"/>
                <w:color w:val="0000FF"/>
              </w:rPr>
              <w:t xml:space="preserve"> a</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56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80" w:type="dxa"/>
            <w:vAlign w:val="bottom"/>
            <w:tcBorders>
              <w:bottom w:val="single" w:sz="8" w:color="0000FF"/>
            </w:tcBorders>
            <w:gridSpan w:val="2"/>
          </w:tcPr>
          <w:p>
            <w:pPr>
              <w:spacing w:after="0" w:line="20" w:lineRule="exact"/>
              <w:rPr>
                <w:sz w:val="1"/>
                <w:szCs w:val="1"/>
                <w:color w:val="auto"/>
              </w:rPr>
            </w:pPr>
          </w:p>
        </w:tc>
        <w:tc>
          <w:tcPr>
            <w:tcW w:w="34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20" w:type="dxa"/>
            <w:vAlign w:val="bottom"/>
            <w:gridSpan w:val="6"/>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i w:val="1"/>
                <w:iCs w:val="1"/>
                <w:color w:val="0000FF"/>
              </w:rPr>
              <w:t>Test</w:t>
            </w:r>
          </w:p>
        </w:tc>
        <w:tc>
          <w:tcPr>
            <w:tcW w:w="2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6"/>
            <w:vMerge w:val="restart"/>
          </w:tcPr>
          <w:p>
            <w:pPr>
              <w:spacing w:after="0" w:line="129" w:lineRule="exact"/>
              <w:rPr>
                <w:sz w:val="20"/>
                <w:szCs w:val="20"/>
                <w:color w:val="auto"/>
              </w:rPr>
            </w:pPr>
            <w:r>
              <w:rPr>
                <w:rFonts w:ascii="Times New Roman" w:cs="Times New Roman" w:eastAsia="Times New Roman" w:hAnsi="Times New Roman"/>
                <w:sz w:val="14"/>
                <w:szCs w:val="14"/>
                <w:b w:val="1"/>
                <w:bCs w:val="1"/>
                <w:i w:val="1"/>
                <w:iCs w:val="1"/>
                <w:color w:val="0000FF"/>
              </w:rPr>
              <w:t>rred:</w:t>
            </w:r>
          </w:p>
        </w:tc>
        <w:tc>
          <w:tcPr>
            <w:tcW w:w="0" w:type="dxa"/>
            <w:vAlign w:val="bottom"/>
          </w:tcPr>
          <w:p>
            <w:pPr>
              <w:spacing w:after="0" w:line="20" w:lineRule="exact"/>
              <w:rPr>
                <w:sz w:val="1"/>
                <w:szCs w:val="1"/>
                <w:color w:val="auto"/>
              </w:rPr>
            </w:pPr>
          </w:p>
        </w:tc>
      </w:tr>
      <w:tr>
        <w:trPr>
          <w:trHeight w:val="188"/>
        </w:trPr>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5"/>
          </w:tcPr>
          <w:p>
            <w:pPr>
              <w:jc w:val="right"/>
              <w:ind w:right="160"/>
              <w:spacing w:after="0" w:line="102" w:lineRule="exact"/>
              <w:rPr>
                <w:sz w:val="20"/>
                <w:szCs w:val="20"/>
                <w:color w:val="auto"/>
              </w:rPr>
            </w:pPr>
            <w:r>
              <w:rPr>
                <w:rFonts w:ascii="Times New Roman" w:cs="Times New Roman" w:eastAsia="Times New Roman" w:hAnsi="Times New Roman"/>
                <w:sz w:val="11"/>
                <w:szCs w:val="11"/>
                <w:b w:val="1"/>
                <w:bCs w:val="1"/>
                <w:i w:val="1"/>
                <w:iCs w:val="1"/>
                <w:color w:val="0000FF"/>
              </w:rPr>
              <w:t>the Test Date:</w:t>
            </w: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6"/>
          </w:tcPr>
          <w:p>
            <w:pPr>
              <w:jc w:val="center"/>
              <w:ind w:right="60"/>
              <w:spacing w:after="0" w:line="102" w:lineRule="exact"/>
              <w:rPr>
                <w:sz w:val="20"/>
                <w:szCs w:val="20"/>
                <w:color w:val="auto"/>
              </w:rPr>
            </w:pPr>
            <w:r>
              <w:rPr>
                <w:rFonts w:ascii="Times New Roman" w:cs="Times New Roman" w:eastAsia="Times New Roman" w:hAnsi="Times New Roman"/>
                <w:sz w:val="11"/>
                <w:szCs w:val="11"/>
                <w:b w:val="1"/>
                <w:bCs w:val="1"/>
                <w:i w:val="1"/>
                <w:iCs w:val="1"/>
                <w:color w:val="0000FF"/>
              </w:rPr>
              <w:t>has not occurred:</w:t>
            </w:r>
          </w:p>
        </w:tc>
        <w:tc>
          <w:tcPr>
            <w:tcW w:w="620" w:type="dxa"/>
            <w:vAlign w:val="bottom"/>
            <w:gridSpan w:val="3"/>
          </w:tcPr>
          <w:p>
            <w:pPr>
              <w:spacing w:after="0"/>
              <w:rPr>
                <w:sz w:val="16"/>
                <w:szCs w:val="16"/>
                <w:color w:val="auto"/>
              </w:rPr>
            </w:pPr>
          </w:p>
        </w:tc>
        <w:tc>
          <w:tcPr>
            <w:tcW w:w="320" w:type="dxa"/>
            <w:vAlign w:val="bottom"/>
            <w:gridSpan w:val="6"/>
            <w:vMerge w:val="continue"/>
          </w:tcPr>
          <w:p>
            <w:pPr>
              <w:spacing w:after="0"/>
              <w:rPr>
                <w:sz w:val="16"/>
                <w:szCs w:val="16"/>
                <w:color w:val="auto"/>
              </w:rPr>
            </w:pPr>
          </w:p>
        </w:tc>
        <w:tc>
          <w:tcPr>
            <w:tcW w:w="1380" w:type="dxa"/>
            <w:vAlign w:val="bottom"/>
            <w:gridSpan w:val="5"/>
          </w:tcPr>
          <w:p>
            <w:pPr>
              <w:jc w:val="center"/>
              <w:spacing w:after="0" w:line="95" w:lineRule="exact"/>
              <w:rPr>
                <w:sz w:val="20"/>
                <w:szCs w:val="20"/>
                <w:color w:val="auto"/>
              </w:rPr>
            </w:pPr>
            <w:r>
              <w:rPr>
                <w:rFonts w:ascii="Times New Roman" w:cs="Times New Roman" w:eastAsia="Times New Roman" w:hAnsi="Times New Roman"/>
                <w:sz w:val="11"/>
                <w:szCs w:val="11"/>
                <w:b w:val="1"/>
                <w:bCs w:val="1"/>
                <w:i w:val="1"/>
                <w:iCs w:val="1"/>
                <w:color w:val="0000FF"/>
                <w:strike w:val="1"/>
              </w:rPr>
              <w:t xml:space="preserve">Date Shortfall has </w:t>
            </w:r>
            <w:r>
              <w:rPr>
                <w:rFonts w:ascii="Times New Roman" w:cs="Times New Roman" w:eastAsia="Times New Roman" w:hAnsi="Times New Roman"/>
                <w:sz w:val="11"/>
                <w:szCs w:val="11"/>
                <w:b w:val="1"/>
                <w:bCs w:val="1"/>
                <w:i w:val="1"/>
                <w:iCs w:val="1"/>
                <w:u w:val="single" w:color="auto"/>
                <w:color w:val="0000FF"/>
                <w:strike w:val="1"/>
              </w:rPr>
              <w:t>occu</w:t>
            </w:r>
          </w:p>
        </w:tc>
        <w:tc>
          <w:tcPr>
            <w:tcW w:w="46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60" w:type="dxa"/>
            <w:vAlign w:val="bottom"/>
            <w:tcBorders>
              <w:top w:val="single" w:sz="8" w:color="CCEEFF"/>
              <w:bottom w:val="single" w:sz="8" w:color="0000FF"/>
            </w:tcBorders>
            <w:gridSpan w:val="2"/>
            <w:shd w:val="clear" w:color="auto" w:fill="CCEEFF"/>
          </w:tcPr>
          <w:p>
            <w:pPr>
              <w:spacing w:after="0" w:line="96" w:lineRule="exact"/>
              <w:rPr>
                <w:sz w:val="20"/>
                <w:szCs w:val="20"/>
                <w:color w:val="auto"/>
              </w:rPr>
            </w:pPr>
            <w:r>
              <w:rPr>
                <w:rFonts w:ascii="Times New Roman" w:cs="Times New Roman" w:eastAsia="Times New Roman" w:hAnsi="Times New Roman"/>
                <w:sz w:val="11"/>
                <w:szCs w:val="11"/>
                <w:b w:val="1"/>
                <w:bCs w:val="1"/>
                <w:color w:val="0000FF"/>
              </w:rPr>
              <w:t>Tier 1</w:t>
            </w: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1320" w:type="dxa"/>
            <w:vAlign w:val="bottom"/>
            <w:tcBorders>
              <w:top w:val="single" w:sz="8" w:color="CCEEFF"/>
              <w:bottom w:val="single" w:sz="8" w:color="CCEEFF"/>
            </w:tcBorders>
            <w:shd w:val="clear" w:color="auto" w:fill="CCEEFF"/>
          </w:tcPr>
          <w:p>
            <w:pPr>
              <w:spacing w:after="0"/>
              <w:rPr>
                <w:sz w:val="15"/>
                <w:szCs w:val="15"/>
                <w:color w:val="auto"/>
              </w:rPr>
            </w:pPr>
          </w:p>
        </w:tc>
        <w:tc>
          <w:tcPr>
            <w:tcW w:w="3540" w:type="dxa"/>
            <w:vAlign w:val="bottom"/>
            <w:tcBorders>
              <w:top w:val="single" w:sz="8" w:color="CCEEFF"/>
              <w:bottom w:val="single" w:sz="8" w:color="CCEEFF"/>
            </w:tcBorders>
            <w:gridSpan w:val="12"/>
            <w:shd w:val="clear" w:color="auto" w:fill="CCEEFF"/>
          </w:tcPr>
          <w:p>
            <w:pPr>
              <w:spacing w:after="0" w:line="96" w:lineRule="exact"/>
              <w:rPr>
                <w:sz w:val="20"/>
                <w:szCs w:val="20"/>
                <w:color w:val="auto"/>
              </w:rPr>
            </w:pPr>
            <w:r>
              <w:rPr>
                <w:rFonts w:ascii="Times New Roman" w:cs="Times New Roman" w:eastAsia="Times New Roman" w:hAnsi="Times New Roman"/>
                <w:sz w:val="11"/>
                <w:szCs w:val="11"/>
                <w:color w:val="0000FF"/>
              </w:rPr>
              <w:t>With respect to Annual Net Sales of</w:t>
            </w: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gridSpan w:val="2"/>
            <w:shd w:val="clear" w:color="auto" w:fill="CCEEFF"/>
          </w:tcPr>
          <w:p>
            <w:pPr>
              <w:jc w:val="right"/>
              <w:spacing w:after="0" w:line="103" w:lineRule="exact"/>
              <w:rPr>
                <w:sz w:val="20"/>
                <w:szCs w:val="20"/>
                <w:color w:val="auto"/>
              </w:rPr>
            </w:pPr>
            <w:r>
              <w:rPr>
                <w:rFonts w:ascii="Times New Roman" w:cs="Times New Roman" w:eastAsia="Times New Roman" w:hAnsi="Times New Roman"/>
                <w:sz w:val="11"/>
                <w:szCs w:val="11"/>
                <w:color w:val="0000FF"/>
              </w:rPr>
              <w:t>12.</w:t>
            </w:r>
          </w:p>
        </w:tc>
        <w:tc>
          <w:tcPr>
            <w:tcW w:w="180" w:type="dxa"/>
            <w:vAlign w:val="bottom"/>
            <w:tcBorders>
              <w:top w:val="single" w:sz="8" w:color="auto"/>
              <w:bottom w:val="single" w:sz="8" w:color="CCEEFF"/>
            </w:tcBorders>
            <w:gridSpan w:val="2"/>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u w:val="single" w:color="auto"/>
                <w:color w:val="0000FF"/>
              </w:rPr>
              <w:t>50</w:t>
            </w:r>
          </w:p>
        </w:tc>
        <w:tc>
          <w:tcPr>
            <w:tcW w:w="440" w:type="dxa"/>
            <w:vAlign w:val="bottom"/>
            <w:tcBorders>
              <w:top w:val="single" w:sz="8" w:color="CCEEFF"/>
              <w:bottom w:val="single" w:sz="8" w:color="CCEEFF"/>
            </w:tcBorders>
            <w:shd w:val="clear" w:color="auto" w:fill="CCEEFF"/>
          </w:tcPr>
          <w:p>
            <w:pPr>
              <w:jc w:val="right"/>
              <w:ind w:right="224"/>
              <w:spacing w:after="0" w:line="96" w:lineRule="exact"/>
              <w:rPr>
                <w:sz w:val="20"/>
                <w:szCs w:val="20"/>
                <w:color w:val="auto"/>
              </w:rPr>
            </w:pPr>
            <w:r>
              <w:rPr>
                <w:rFonts w:ascii="Times New Roman" w:cs="Times New Roman" w:eastAsia="Times New Roman" w:hAnsi="Times New Roman"/>
                <w:sz w:val="11"/>
                <w:szCs w:val="11"/>
                <w:color w:val="0000FF"/>
              </w:rPr>
              <w:t>%</w:t>
            </w:r>
          </w:p>
        </w:tc>
        <w:tc>
          <w:tcPr>
            <w:tcW w:w="160" w:type="dxa"/>
            <w:vAlign w:val="bottom"/>
            <w:tcBorders>
              <w:top w:val="single" w:sz="8" w:color="auto"/>
              <w:bottom w:val="single" w:sz="8" w:color="CCEEFF"/>
            </w:tcBorders>
            <w:gridSpan w:val="3"/>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CCEEFF"/>
            </w:tcBorders>
            <w:gridSpan w:val="5"/>
            <w:shd w:val="clear" w:color="auto" w:fill="CCEEFF"/>
          </w:tcPr>
          <w:p>
            <w:pPr>
              <w:jc w:val="right"/>
              <w:spacing w:after="0" w:line="103" w:lineRule="exact"/>
              <w:rPr>
                <w:sz w:val="20"/>
                <w:szCs w:val="20"/>
                <w:color w:val="auto"/>
              </w:rPr>
            </w:pPr>
            <w:r>
              <w:rPr>
                <w:rFonts w:ascii="Times New Roman" w:cs="Times New Roman" w:eastAsia="Times New Roman" w:hAnsi="Times New Roman"/>
                <w:sz w:val="11"/>
                <w:szCs w:val="11"/>
                <w:color w:val="0000FF"/>
              </w:rPr>
              <w:t>2.</w:t>
            </w:r>
            <w:r>
              <w:rPr>
                <w:rFonts w:ascii="Times New Roman" w:cs="Times New Roman" w:eastAsia="Times New Roman" w:hAnsi="Times New Roman"/>
                <w:sz w:val="11"/>
                <w:szCs w:val="11"/>
                <w:u w:val="single" w:color="auto"/>
                <w:color w:val="0000FF"/>
              </w:rPr>
              <w:t>8125</w:t>
            </w:r>
          </w:p>
        </w:tc>
        <w:tc>
          <w:tcPr>
            <w:tcW w:w="440" w:type="dxa"/>
            <w:vAlign w:val="bottom"/>
            <w:tcBorders>
              <w:top w:val="single" w:sz="8" w:color="CCEEFF"/>
              <w:bottom w:val="single" w:sz="8" w:color="CCEEFF"/>
            </w:tcBorders>
            <w:shd w:val="clear" w:color="auto" w:fill="CCEEFF"/>
          </w:tcPr>
          <w:p>
            <w:pPr>
              <w:jc w:val="right"/>
              <w:ind w:right="244"/>
              <w:spacing w:after="0" w:line="96" w:lineRule="exact"/>
              <w:rPr>
                <w:sz w:val="20"/>
                <w:szCs w:val="20"/>
                <w:color w:val="auto"/>
              </w:rPr>
            </w:pPr>
            <w:r>
              <w:rPr>
                <w:rFonts w:ascii="Times New Roman" w:cs="Times New Roman" w:eastAsia="Times New Roman" w:hAnsi="Times New Roman"/>
                <w:sz w:val="11"/>
                <w:szCs w:val="11"/>
                <w:color w:val="0000FF"/>
              </w:rPr>
              <w:t>%</w:t>
            </w: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1880" w:type="dxa"/>
            <w:vAlign w:val="bottom"/>
            <w:tcBorders>
              <w:top w:val="single" w:sz="8" w:color="auto"/>
              <w:bottom w:val="single" w:sz="8" w:color="CCEEFF"/>
            </w:tcBorders>
            <w:gridSpan w:val="10"/>
            <w:shd w:val="clear" w:color="auto" w:fill="CCEEFF"/>
          </w:tcPr>
          <w:p>
            <w:pPr>
              <w:jc w:val="center"/>
              <w:ind w:right="60"/>
              <w:spacing w:after="0" w:line="103" w:lineRule="exact"/>
              <w:rPr>
                <w:sz w:val="20"/>
                <w:szCs w:val="20"/>
                <w:color w:val="auto"/>
              </w:rPr>
            </w:pPr>
            <w:r>
              <w:rPr>
                <w:rFonts w:ascii="Times New Roman" w:cs="Times New Roman" w:eastAsia="Times New Roman" w:hAnsi="Times New Roman"/>
                <w:sz w:val="11"/>
                <w:szCs w:val="11"/>
                <w:color w:val="0000FF"/>
              </w:rPr>
              <w:t>To be calculated pursuant</w:t>
            </w: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 w:type="dxa"/>
            <w:vAlign w:val="bottom"/>
            <w:tcBorders>
              <w:top w:val="single" w:sz="8" w:color="0000FF"/>
              <w:bottom w:val="single" w:sz="8" w:color="CCEEFF"/>
            </w:tcBorders>
            <w:shd w:val="clear" w:color="auto" w:fill="CCEEFF"/>
          </w:tcPr>
          <w:p>
            <w:pPr>
              <w:spacing w:after="0"/>
              <w:rPr>
                <w:sz w:val="15"/>
                <w:szCs w:val="15"/>
                <w:color w:val="auto"/>
              </w:rPr>
            </w:pPr>
          </w:p>
        </w:tc>
        <w:tc>
          <w:tcPr>
            <w:tcW w:w="20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3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540" w:type="dxa"/>
            <w:vAlign w:val="bottom"/>
            <w:tcBorders>
              <w:top w:val="single" w:sz="8" w:color="0000FF"/>
              <w:bottom w:val="single" w:sz="8" w:color="0000FF"/>
            </w:tcBorders>
            <w:gridSpan w:val="6"/>
            <w:shd w:val="clear" w:color="auto" w:fill="CCEEFF"/>
          </w:tcPr>
          <w:p>
            <w:pPr>
              <w:spacing w:after="0" w:line="130" w:lineRule="exact"/>
              <w:rPr>
                <w:sz w:val="20"/>
                <w:szCs w:val="20"/>
                <w:color w:val="auto"/>
              </w:rPr>
            </w:pPr>
            <w:r>
              <w:rPr>
                <w:rFonts w:ascii="Times New Roman" w:cs="Times New Roman" w:eastAsia="Times New Roman" w:hAnsi="Times New Roman"/>
                <w:sz w:val="15"/>
                <w:szCs w:val="15"/>
                <w:u w:val="single" w:color="auto"/>
                <w:color w:val="0000FF"/>
              </w:rPr>
              <w:t>$</w:t>
            </w:r>
            <w:r>
              <w:rPr>
                <w:rFonts w:ascii="Times New Roman" w:cs="Times New Roman" w:eastAsia="Times New Roman" w:hAnsi="Times New Roman"/>
                <w:sz w:val="15"/>
                <w:szCs w:val="15"/>
                <w:color w:val="0000FF"/>
              </w:rPr>
              <w:t>600,000,000 or less.</w:t>
            </w:r>
          </w:p>
        </w:tc>
        <w:tc>
          <w:tcPr>
            <w:tcW w:w="1020" w:type="dxa"/>
            <w:vAlign w:val="bottom"/>
            <w:tcBorders>
              <w:top w:val="single" w:sz="8" w:color="0000FF"/>
              <w:bottom w:val="single" w:sz="8" w:color="CCEEFF"/>
            </w:tcBorders>
            <w:gridSpan w:val="3"/>
            <w:shd w:val="clear" w:color="auto" w:fill="CCEEFF"/>
          </w:tcPr>
          <w:p>
            <w:pPr>
              <w:spacing w:after="0"/>
              <w:rPr>
                <w:sz w:val="15"/>
                <w:szCs w:val="15"/>
                <w:color w:val="auto"/>
              </w:rPr>
            </w:pPr>
          </w:p>
        </w:tc>
        <w:tc>
          <w:tcPr>
            <w:tcW w:w="7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160" w:type="dxa"/>
            <w:vAlign w:val="bottom"/>
            <w:tcBorders>
              <w:top w:val="single" w:sz="8" w:color="0000FF"/>
              <w:bottom w:val="single" w:sz="8" w:color="CCEEFF"/>
            </w:tcBorders>
            <w:shd w:val="clear" w:color="auto" w:fill="CCEEFF"/>
          </w:tcPr>
          <w:p>
            <w:pPr>
              <w:spacing w:after="0"/>
              <w:rPr>
                <w:sz w:val="15"/>
                <w:szCs w:val="15"/>
                <w:color w:val="auto"/>
              </w:rPr>
            </w:pPr>
          </w:p>
        </w:tc>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0000FF"/>
              <w:bottom w:val="single" w:sz="8" w:color="CCEEFF"/>
            </w:tcBorders>
            <w:shd w:val="clear" w:color="auto" w:fill="CCEEFF"/>
          </w:tcPr>
          <w:p>
            <w:pPr>
              <w:spacing w:after="0"/>
              <w:rPr>
                <w:sz w:val="15"/>
                <w:szCs w:val="15"/>
                <w:color w:val="auto"/>
              </w:rPr>
            </w:pPr>
          </w:p>
        </w:tc>
        <w:tc>
          <w:tcPr>
            <w:tcW w:w="100" w:type="dxa"/>
            <w:vAlign w:val="bottom"/>
            <w:tcBorders>
              <w:top w:val="single" w:sz="8" w:color="0000FF"/>
              <w:bottom w:val="single" w:sz="8" w:color="CCEEFF"/>
              <w:right w:val="single" w:sz="8" w:color="CCEEFF"/>
            </w:tcBorders>
            <w:shd w:val="clear" w:color="auto" w:fill="CCEEFF"/>
          </w:tcPr>
          <w:p>
            <w:pPr>
              <w:spacing w:after="0"/>
              <w:rPr>
                <w:sz w:val="15"/>
                <w:szCs w:val="15"/>
                <w:color w:val="auto"/>
              </w:rPr>
            </w:pPr>
          </w:p>
        </w:tc>
        <w:tc>
          <w:tcPr>
            <w:tcW w:w="60" w:type="dxa"/>
            <w:vAlign w:val="bottom"/>
            <w:tcBorders>
              <w:top w:val="single" w:sz="8" w:color="0000FF"/>
              <w:bottom w:val="single" w:sz="8" w:color="CCEEFF"/>
            </w:tcBorders>
            <w:shd w:val="clear" w:color="auto" w:fill="CCEEFF"/>
          </w:tcPr>
          <w:p>
            <w:pPr>
              <w:spacing w:after="0"/>
              <w:rPr>
                <w:sz w:val="15"/>
                <w:szCs w:val="15"/>
                <w:color w:val="auto"/>
              </w:rPr>
            </w:pPr>
          </w:p>
        </w:tc>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1840" w:type="dxa"/>
            <w:vAlign w:val="bottom"/>
            <w:tcBorders>
              <w:top w:val="single" w:sz="8" w:color="0000FF"/>
              <w:bottom w:val="single" w:sz="8" w:color="0000FF"/>
            </w:tcBorders>
            <w:gridSpan w:val="8"/>
            <w:shd w:val="clear" w:color="auto" w:fill="CCEEFF"/>
          </w:tcPr>
          <w:p>
            <w:pPr>
              <w:jc w:val="center"/>
              <w:ind w:right="20"/>
              <w:spacing w:after="0" w:line="130" w:lineRule="exact"/>
              <w:rPr>
                <w:sz w:val="20"/>
                <w:szCs w:val="20"/>
                <w:color w:val="auto"/>
              </w:rPr>
            </w:pPr>
            <w:r>
              <w:rPr>
                <w:rFonts w:ascii="Times New Roman" w:cs="Times New Roman" w:eastAsia="Times New Roman" w:hAnsi="Times New Roman"/>
                <w:sz w:val="15"/>
                <w:szCs w:val="15"/>
                <w:color w:val="0000FF"/>
              </w:rPr>
              <w:t>to the subsequent proviso.</w:t>
            </w: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6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b w:val="1"/>
                <w:bCs w:val="1"/>
                <w:color w:val="0000FF"/>
                <w:w w:val="94"/>
              </w:rPr>
              <w:t>Tier 2</w:t>
            </w: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89"/>
              </w:rPr>
              <w:t>With respect to Annual</w:t>
            </w:r>
          </w:p>
        </w:tc>
        <w:tc>
          <w:tcPr>
            <w:tcW w:w="20" w:type="dxa"/>
            <w:vAlign w:val="bottom"/>
          </w:tcPr>
          <w:p>
            <w:pPr>
              <w:spacing w:after="0"/>
              <w:rPr>
                <w:sz w:val="13"/>
                <w:szCs w:val="13"/>
                <w:color w:val="auto"/>
              </w:rPr>
            </w:pPr>
          </w:p>
        </w:tc>
        <w:tc>
          <w:tcPr>
            <w:tcW w:w="1980" w:type="dxa"/>
            <w:vAlign w:val="bottom"/>
            <w:gridSpan w:val="5"/>
          </w:tcPr>
          <w:p>
            <w:pPr>
              <w:ind w:left="140"/>
              <w:spacing w:after="0" w:line="156" w:lineRule="exact"/>
              <w:rPr>
                <w:sz w:val="20"/>
                <w:szCs w:val="20"/>
                <w:color w:val="auto"/>
              </w:rPr>
            </w:pPr>
            <w:r>
              <w:rPr>
                <w:rFonts w:ascii="Times New Roman" w:cs="Times New Roman" w:eastAsia="Times New Roman" w:hAnsi="Times New Roman"/>
                <w:sz w:val="18"/>
                <w:szCs w:val="18"/>
                <w:color w:val="0000FF"/>
              </w:rPr>
              <w:t>Net Sales in excess of</w:t>
            </w:r>
          </w:p>
        </w:tc>
        <w:tc>
          <w:tcPr>
            <w:tcW w:w="1600" w:type="dxa"/>
            <w:vAlign w:val="bottom"/>
            <w:gridSpan w:val="7"/>
          </w:tcPr>
          <w:p>
            <w:pPr>
              <w:jc w:val="right"/>
              <w:ind w:right="224"/>
              <w:spacing w:after="0" w:line="156" w:lineRule="exact"/>
              <w:rPr>
                <w:sz w:val="20"/>
                <w:szCs w:val="20"/>
                <w:color w:val="auto"/>
              </w:rPr>
            </w:pPr>
            <w:r>
              <w:rPr>
                <w:rFonts w:ascii="Times New Roman" w:cs="Times New Roman" w:eastAsia="Times New Roman" w:hAnsi="Times New Roman"/>
                <w:sz w:val="18"/>
                <w:szCs w:val="18"/>
                <w:color w:val="0000FF"/>
              </w:rPr>
              <w:t>5.625%</w:t>
            </w:r>
          </w:p>
        </w:tc>
        <w:tc>
          <w:tcPr>
            <w:tcW w:w="1800" w:type="dxa"/>
            <w:vAlign w:val="bottom"/>
            <w:gridSpan w:val="10"/>
          </w:tcPr>
          <w:p>
            <w:pPr>
              <w:jc w:val="right"/>
              <w:ind w:right="244"/>
              <w:spacing w:after="0" w:line="156" w:lineRule="exact"/>
              <w:rPr>
                <w:sz w:val="20"/>
                <w:szCs w:val="20"/>
                <w:color w:val="auto"/>
              </w:rPr>
            </w:pPr>
            <w:r>
              <w:rPr>
                <w:rFonts w:ascii="Times New Roman" w:cs="Times New Roman" w:eastAsia="Times New Roman" w:hAnsi="Times New Roman"/>
                <w:sz w:val="18"/>
                <w:szCs w:val="18"/>
                <w:color w:val="0000FF"/>
              </w:rPr>
              <w:t>2.8125%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gridSpan w:val="9"/>
          </w:tcPr>
          <w:p>
            <w:pPr>
              <w:jc w:val="center"/>
              <w:ind w:right="40"/>
              <w:spacing w:after="0" w:line="156" w:lineRule="exact"/>
              <w:rPr>
                <w:sz w:val="20"/>
                <w:szCs w:val="20"/>
                <w:color w:val="auto"/>
              </w:rPr>
            </w:pPr>
            <w:r>
              <w:rPr>
                <w:rFonts w:ascii="Times New Roman" w:cs="Times New Roman" w:eastAsia="Times New Roman" w:hAnsi="Times New Roman"/>
                <w:sz w:val="18"/>
                <w:szCs w:val="18"/>
                <w:color w:val="0000FF"/>
                <w:w w:val="98"/>
              </w:rPr>
              <w:t>To be calculated pursuant</w:t>
            </w:r>
          </w:p>
        </w:tc>
        <w:tc>
          <w:tcPr>
            <w:tcW w:w="1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6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13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00" w:type="dxa"/>
            <w:vAlign w:val="bottom"/>
            <w:tcBorders>
              <w:top w:val="single" w:sz="8" w:color="0000FF"/>
              <w:bottom w:val="single" w:sz="8" w:color="0000FF"/>
            </w:tcBorders>
            <w:gridSpan w:val="2"/>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4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520" w:type="dxa"/>
            <w:vAlign w:val="bottom"/>
            <w:tcBorders>
              <w:top w:val="single" w:sz="8" w:color="0000FF"/>
              <w:bottom w:val="single" w:sz="8" w:color="0000FF"/>
            </w:tcBorders>
          </w:tcPr>
          <w:p>
            <w:pPr>
              <w:spacing w:after="0"/>
              <w:rPr>
                <w:sz w:val="2"/>
                <w:szCs w:val="2"/>
                <w:color w:val="auto"/>
              </w:rPr>
            </w:pPr>
          </w:p>
        </w:tc>
        <w:tc>
          <w:tcPr>
            <w:tcW w:w="260" w:type="dxa"/>
            <w:vAlign w:val="bottom"/>
            <w:tcBorders>
              <w:top w:val="single" w:sz="8" w:color="0000FF"/>
              <w:bottom w:val="single" w:sz="8" w:color="0000FF"/>
            </w:tcBorders>
          </w:tcPr>
          <w:p>
            <w:pPr>
              <w:spacing w:after="0"/>
              <w:rPr>
                <w:sz w:val="2"/>
                <w:szCs w:val="2"/>
                <w:color w:val="auto"/>
              </w:rPr>
            </w:pPr>
          </w:p>
        </w:tc>
        <w:tc>
          <w:tcPr>
            <w:tcW w:w="700" w:type="dxa"/>
            <w:vAlign w:val="bottom"/>
            <w:tcBorders>
              <w:top w:val="single" w:sz="8" w:color="0000FF"/>
              <w:bottom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1820" w:type="dxa"/>
            <w:vAlign w:val="bottom"/>
            <w:tcBorders>
              <w:top w:val="single" w:sz="8" w:color="0000FF"/>
              <w:bottom w:val="single" w:sz="8" w:color="0000FF"/>
            </w:tcBorders>
            <w:gridSpan w:val="7"/>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0" w:type="dxa"/>
            <w:vAlign w:val="bottom"/>
            <w:gridSpan w:val="4"/>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20" w:type="dxa"/>
            <w:vAlign w:val="bottom"/>
            <w:gridSpan w:val="3"/>
          </w:tcPr>
          <w:p>
            <w:pPr>
              <w:spacing w:after="0" w:line="142" w:lineRule="exact"/>
              <w:rPr>
                <w:sz w:val="20"/>
                <w:szCs w:val="20"/>
                <w:color w:val="auto"/>
              </w:rPr>
            </w:pPr>
            <w:r>
              <w:rPr>
                <w:rFonts w:ascii="Times New Roman" w:cs="Times New Roman" w:eastAsia="Times New Roman" w:hAnsi="Times New Roman"/>
                <w:sz w:val="16"/>
                <w:szCs w:val="16"/>
                <w:u w:val="single" w:color="auto"/>
                <w:color w:val="0000FF"/>
              </w:rPr>
              <w:t>$</w:t>
            </w:r>
            <w:r>
              <w:rPr>
                <w:rFonts w:ascii="Times New Roman" w:cs="Times New Roman" w:eastAsia="Times New Roman" w:hAnsi="Times New Roman"/>
                <w:sz w:val="16"/>
                <w:szCs w:val="16"/>
                <w:color w:val="0000FF"/>
              </w:rPr>
              <w:t>600,000,000.</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vMerge w:val="continue"/>
          </w:tcPr>
          <w:p>
            <w:pPr>
              <w:spacing w:after="0"/>
              <w:rPr>
                <w:sz w:val="12"/>
                <w:szCs w:val="12"/>
                <w:color w:val="auto"/>
              </w:rPr>
            </w:pPr>
          </w:p>
        </w:tc>
        <w:tc>
          <w:tcPr>
            <w:tcW w:w="1840" w:type="dxa"/>
            <w:vAlign w:val="bottom"/>
            <w:gridSpan w:val="8"/>
          </w:tcPr>
          <w:p>
            <w:pPr>
              <w:jc w:val="center"/>
              <w:ind w:right="20"/>
              <w:spacing w:after="0" w:line="142" w:lineRule="exact"/>
              <w:rPr>
                <w:sz w:val="20"/>
                <w:szCs w:val="20"/>
                <w:color w:val="auto"/>
              </w:rPr>
            </w:pPr>
            <w:r>
              <w:rPr>
                <w:rFonts w:ascii="Times New Roman" w:cs="Times New Roman" w:eastAsia="Times New Roman" w:hAnsi="Times New Roman"/>
                <w:sz w:val="16"/>
                <w:szCs w:val="16"/>
                <w:color w:val="0000FF"/>
              </w:rPr>
              <w:t>to the subsequent proviso.</w:t>
            </w:r>
          </w:p>
        </w:tc>
        <w:tc>
          <w:tcPr>
            <w:tcW w:w="2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940" w:type="dxa"/>
            <w:vAlign w:val="bottom"/>
            <w:tcBorders>
              <w:top w:val="single" w:sz="8" w:color="0000FF"/>
              <w:bottom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126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-1053465</wp:posOffset>
            </wp:positionV>
            <wp:extent cx="8572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3392170</wp:posOffset>
            </wp:positionH>
            <wp:positionV relativeFrom="paragraph">
              <wp:posOffset>-753745</wp:posOffset>
            </wp:positionV>
            <wp:extent cx="1877060" cy="1028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77060" cy="102870"/>
                    </a:xfrm>
                    <a:prstGeom prst="rect">
                      <a:avLst/>
                    </a:prstGeom>
                    <a:noFill/>
                  </pic:spPr>
                </pic:pic>
              </a:graphicData>
            </a:graphic>
          </wp:anchor>
        </w:drawing>
      </w:r>
    </w:p>
    <w:p>
      <w:pPr>
        <w:spacing w:after="0" w:line="15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provided that, in each case of clauses (a)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(b) </w:t>
      </w:r>
      <w:r>
        <w:rPr>
          <w:rFonts w:ascii="Times New Roman" w:cs="Times New Roman" w:eastAsia="Times New Roman" w:hAnsi="Times New Roman"/>
          <w:sz w:val="18"/>
          <w:szCs w:val="18"/>
          <w:color w:val="0000FF"/>
        </w:rPr>
        <w:t>and (c)</w:t>
      </w:r>
      <w:r>
        <w:rPr>
          <w:rFonts w:ascii="Times New Roman" w:cs="Times New Roman" w:eastAsia="Times New Roman" w:hAnsi="Times New Roman"/>
          <w:sz w:val="18"/>
          <w:szCs w:val="18"/>
          <w:color w:val="auto"/>
        </w:rPr>
        <w:t>, if a Test Date Shortfall has occurred, then as of and following the Test Date, the Applicable Percentage for Tiers 1 and 2 shall be increased for all subsequent calendar years beginning on January 1, 2030 to a single defined rate (with no separate Tiers) that, had such increased rate applied to the applicable “Tier 1” during the period from the Closing Date through and including the Test Date, would have provided the Purchasers with aggregate Revenue Interest Payments (excluding any Revenue Interest Payments made with respect to amounts treated as Net Sales of the Included Products pursuant to Section 5.09(c)(iii) and/or with respect to upfront payments, milestone payments or other lump sum payments made under Out-Licenses) in an amount equal to the Cumulative Purchaser Payments as of the Test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-691515</wp:posOffset>
            </wp:positionV>
            <wp:extent cx="3511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1155" cy="8255"/>
                    </a:xfrm>
                    <a:prstGeom prst="rect">
                      <a:avLst/>
                    </a:prstGeom>
                    <a:noFill/>
                  </pic:spPr>
                </pic:pic>
              </a:graphicData>
            </a:graphic>
          </wp:anchor>
        </w:drawing>
        <w:drawing>
          <wp:anchor simplePos="0" relativeHeight="251657728" behindDoc="1" locked="0" layoutInCell="0" allowOverlap="1">
            <wp:simplePos x="0" y="0"/>
            <wp:positionH relativeFrom="column">
              <wp:posOffset>2262505</wp:posOffset>
            </wp:positionH>
            <wp:positionV relativeFrom="paragraph">
              <wp:posOffset>-717550</wp:posOffset>
            </wp:positionV>
            <wp:extent cx="3486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8615" cy="8890"/>
                    </a:xfrm>
                    <a:prstGeom prst="rect">
                      <a:avLst/>
                    </a:prstGeom>
                    <a:noFill/>
                  </pic:spPr>
                </pic:pic>
              </a:graphicData>
            </a:graphic>
          </wp:anchor>
        </w:drawing>
      </w:r>
    </w:p>
    <w:p>
      <w:pPr>
        <w:spacing w:after="0" w:line="1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has the meaning set forth in the definition of “Financial Statements”.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51" w:right="439" w:bottom="1440" w:gutter="0" w:footer="0" w:header="0"/>
        </w:sectPr>
      </w:pPr>
    </w:p>
    <w:bookmarkStart w:id="20" w:name="page21"/>
    <w:bookmarkEnd w:id="20"/>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Bankruptcy Event</w:t>
      </w:r>
      <w:r>
        <w:rPr>
          <w:rFonts w:ascii="Times New Roman" w:cs="Times New Roman" w:eastAsia="Times New Roman" w:hAnsi="Times New Roman"/>
          <w:sz w:val="18"/>
          <w:szCs w:val="18"/>
          <w:color w:val="auto"/>
        </w:rPr>
        <w:t>” means the occurrence of any of the following:</w:t>
      </w:r>
    </w:p>
    <w:p>
      <w:pPr>
        <w:spacing w:after="0" w:line="117" w:lineRule="exact"/>
        <w:rPr>
          <w:sz w:val="20"/>
          <w:szCs w:val="20"/>
          <w:color w:val="auto"/>
        </w:rPr>
      </w:pPr>
    </w:p>
    <w:p>
      <w:pPr>
        <w:ind w:left="4" w:right="40" w:firstLine="436"/>
        <w:spacing w:after="0" w:line="255" w:lineRule="auto"/>
        <w:tabs>
          <w:tab w:leader="none" w:pos="68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Subsidiary commences any case, proceeding or other action (i) under any Bankruptcy Law, or seeking to adjudicate it bankrupt or insolvent, or seeking reorganization, arrangement, adjustment, winding-up, administration, protection, liquidation or dissolution (other than a solvent winding-up, dissolution or liquidation of a Subsidiary into an Obligor), composition or other relief with respect to it or its debts, or (ii) seeking appointment of a receiver, interim receiver, receiver and manager, trustee, administrator, administrative receiver, custodian or other similar official for it or for all or any portion of its assets, or the Company or any Subsidiary makes a general assignment for the benefit of its creditors or enter into a composition, compromise, assignment or arrangement with any of its creditors (whether by way of a voluntary arrangement, scheme of arrangement, deed of compromise or otherwise);</w:t>
      </w:r>
    </w:p>
    <w:p>
      <w:pPr>
        <w:spacing w:after="0" w:line="80" w:lineRule="exact"/>
        <w:rPr>
          <w:rFonts w:ascii="Times New Roman" w:cs="Times New Roman" w:eastAsia="Times New Roman" w:hAnsi="Times New Roman"/>
          <w:sz w:val="18"/>
          <w:szCs w:val="18"/>
          <w:color w:val="auto"/>
        </w:rPr>
      </w:pPr>
    </w:p>
    <w:p>
      <w:pPr>
        <w:ind w:left="4" w:right="20" w:firstLine="436"/>
        <w:spacing w:after="0" w:line="255" w:lineRule="auto"/>
        <w:tabs>
          <w:tab w:leader="none" w:pos="69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commenced against the Company or any Subsidiary any case, proceeding or other action seeking to adjudicate it bankrupt or insolvent, or seeking dissolution, liquidation, administration, winding up, reorganization, arrangement, adjustment, protection, relief of debtors, or seeking the entry of an order for relief or the appointment of a receiver, interim receiver, receiver and manager, trustee, administrator, administrative receiver, custodian or other similar official for any such Person or for any substantial part of its property, and either such proceeding remains undismissed or unstayed for a period of thirty (30) days or any of the actions sought in such proceeding (including, without limitation, the entry of an order for relief against any such Person or the appointment of a receiver, interim receiver, receiver and manager, trustee, administrator, administrative receiver, custodian or other similar official for it or for any substantial part of its property) occurs;</w:t>
      </w:r>
    </w:p>
    <w:p>
      <w:pPr>
        <w:spacing w:after="0" w:line="80" w:lineRule="exact"/>
        <w:rPr>
          <w:rFonts w:ascii="Times New Roman" w:cs="Times New Roman" w:eastAsia="Times New Roman" w:hAnsi="Times New Roman"/>
          <w:sz w:val="18"/>
          <w:szCs w:val="18"/>
          <w:color w:val="auto"/>
        </w:rPr>
      </w:pPr>
    </w:p>
    <w:p>
      <w:pPr>
        <w:ind w:left="4" w:right="40" w:firstLine="436"/>
        <w:spacing w:after="0" w:line="282" w:lineRule="auto"/>
        <w:tabs>
          <w:tab w:leader="none" w:pos="68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Subsidiary is generally not paying its debts as such debts become due or shall admit in writing its inability to pay its debts generally;</w:t>
      </w:r>
    </w:p>
    <w:p>
      <w:pPr>
        <w:spacing w:after="0" w:line="53" w:lineRule="exact"/>
        <w:rPr>
          <w:rFonts w:ascii="Times New Roman" w:cs="Times New Roman" w:eastAsia="Times New Roman" w:hAnsi="Times New Roman"/>
          <w:sz w:val="18"/>
          <w:szCs w:val="18"/>
          <w:color w:val="auto"/>
        </w:rPr>
      </w:pPr>
    </w:p>
    <w:p>
      <w:pPr>
        <w:ind w:left="4" w:right="540" w:firstLine="436"/>
        <w:spacing w:after="0" w:line="266" w:lineRule="auto"/>
        <w:tabs>
          <w:tab w:leader="none" w:pos="69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receiver, interim receiver, receiver and manager, trustee, administrator, administrative receiver, custodian or other similar official is appointed, either voluntarily or involuntarily, to or in respect of the Company or any Subsidiary or the whole or any part of the property, assets or undertaking of the Company or any Subsidiary;</w:t>
      </w:r>
    </w:p>
    <w:p>
      <w:pPr>
        <w:spacing w:after="0" w:line="67" w:lineRule="exact"/>
        <w:rPr>
          <w:rFonts w:ascii="Times New Roman" w:cs="Times New Roman" w:eastAsia="Times New Roman" w:hAnsi="Times New Roman"/>
          <w:sz w:val="18"/>
          <w:szCs w:val="18"/>
          <w:color w:val="auto"/>
        </w:rPr>
      </w:pPr>
    </w:p>
    <w:p>
      <w:pPr>
        <w:jc w:val="both"/>
        <w:ind w:left="4" w:right="80" w:firstLine="436"/>
        <w:spacing w:after="0" w:line="272" w:lineRule="auto"/>
        <w:tabs>
          <w:tab w:leader="none" w:pos="689"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commenced against the Company or any Subsidiary any case, proceeding or other action seeking issuance of a warrant of attachment, execution, distraint or similar process against (i) all or a substantial portion of its assets and/or (ii) any Included Product or any Collateral, which results in the entry of an order for any such relief which shall not have been vacated, discharged, stayed, satisfied or bonded pending appeal within thirty</w:t>
      </w:r>
    </w:p>
    <w:p>
      <w:pPr>
        <w:spacing w:after="0" w:line="1" w:lineRule="exact"/>
        <w:rPr>
          <w:rFonts w:ascii="Times New Roman" w:cs="Times New Roman" w:eastAsia="Times New Roman" w:hAnsi="Times New Roman"/>
          <w:sz w:val="17"/>
          <w:szCs w:val="17"/>
          <w:color w:val="auto"/>
        </w:rPr>
      </w:pPr>
    </w:p>
    <w:p>
      <w:pPr>
        <w:ind w:left="344" w:hanging="344"/>
        <w:spacing w:after="0"/>
        <w:tabs>
          <w:tab w:leader="none" w:pos="3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from the entry thereof;</w:t>
      </w:r>
    </w:p>
    <w:p>
      <w:pPr>
        <w:spacing w:after="0" w:line="98" w:lineRule="exact"/>
        <w:rPr>
          <w:rFonts w:ascii="Times New Roman" w:cs="Times New Roman" w:eastAsia="Times New Roman" w:hAnsi="Times New Roman"/>
          <w:sz w:val="18"/>
          <w:szCs w:val="18"/>
          <w:color w:val="auto"/>
        </w:rPr>
      </w:pPr>
    </w:p>
    <w:p>
      <w:pPr>
        <w:ind w:left="4" w:right="120" w:firstLine="436"/>
        <w:spacing w:after="0" w:line="282" w:lineRule="auto"/>
        <w:tabs>
          <w:tab w:leader="none" w:pos="66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Subsidiary is insolvent as defined in any statute of the United States Bankruptcy Code or in the fraudulent conveyance or fraudulent transfer statutes of the State of Delaware or other applicable jurisdiction of organization; or</w:t>
      </w:r>
    </w:p>
    <w:p>
      <w:pPr>
        <w:spacing w:after="0" w:line="53" w:lineRule="exact"/>
        <w:rPr>
          <w:rFonts w:ascii="Times New Roman" w:cs="Times New Roman" w:eastAsia="Times New Roman" w:hAnsi="Times New Roman"/>
          <w:sz w:val="18"/>
          <w:szCs w:val="18"/>
          <w:color w:val="auto"/>
        </w:rPr>
      </w:pPr>
    </w:p>
    <w:p>
      <w:pPr>
        <w:ind w:left="4" w:firstLine="436"/>
        <w:spacing w:after="0" w:line="266" w:lineRule="auto"/>
        <w:tabs>
          <w:tab w:leader="none" w:pos="69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affirmative vote by the applicable Board to commence any case, proceeding or other action described in clause (a) above or any other action by the Company or any Subsidiary to otherwise cause, consent to, approve or acquiesce in any of the acts described in clauses (a) through (f) inclusive above.</w:t>
      </w:r>
    </w:p>
    <w:p>
      <w:pPr>
        <w:spacing w:after="0" w:line="176" w:lineRule="exact"/>
        <w:rPr>
          <w:sz w:val="20"/>
          <w:szCs w:val="20"/>
          <w:color w:val="auto"/>
        </w:rPr>
      </w:pPr>
    </w:p>
    <w:p>
      <w:pPr>
        <w:ind w:left="4" w:right="7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Laws</w:t>
      </w:r>
      <w:r>
        <w:rPr>
          <w:rFonts w:ascii="Times New Roman" w:cs="Times New Roman" w:eastAsia="Times New Roman" w:hAnsi="Times New Roman"/>
          <w:sz w:val="18"/>
          <w:szCs w:val="18"/>
          <w:color w:val="auto"/>
        </w:rPr>
        <w:t>” means, collectively, in any jurisdiction, bankruptcy, insolvency, reorganization, moratorium, fraudulent conveyance, fraudulent transfer, or other similar Applicable Laws affecting the enforcement of creditors’ rights generally.</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21" w:name="page22"/>
    <w:bookmarkEnd w:id="21"/>
    <w:p>
      <w:pPr>
        <w:jc w:val="both"/>
        <w:ind w:left="4" w:right="3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Beike License Agreement</w:t>
      </w:r>
      <w:r>
        <w:rPr>
          <w:rFonts w:ascii="Times New Roman" w:cs="Times New Roman" w:eastAsia="Times New Roman" w:hAnsi="Times New Roman"/>
          <w:sz w:val="18"/>
          <w:szCs w:val="18"/>
          <w:color w:val="auto"/>
        </w:rPr>
        <w:t>” means that certain Amended and Restated License, Development and Commercialization Agreement, dated as of September 30, 2017, by and between Altor BioScience, LLC, a Delaware limited liability company and Subsidiary Guarantor, and Shenzhen Beike Biotechnology Co., Ltd., a limited liability company organized under the laws of the People’s Republic of China.</w:t>
      </w:r>
    </w:p>
    <w:p>
      <w:pPr>
        <w:spacing w:after="0" w:line="176" w:lineRule="exact"/>
        <w:rPr>
          <w:sz w:val="20"/>
          <w:szCs w:val="20"/>
          <w:color w:val="auto"/>
        </w:rPr>
      </w:pPr>
    </w:p>
    <w:p>
      <w:pPr>
        <w:ind w:left="4"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Biologics License Application</w:t>
      </w:r>
      <w:r>
        <w:rPr>
          <w:rFonts w:ascii="Times New Roman" w:cs="Times New Roman" w:eastAsia="Times New Roman" w:hAnsi="Times New Roman"/>
          <w:sz w:val="18"/>
          <w:szCs w:val="18"/>
          <w:color w:val="auto"/>
        </w:rPr>
        <w:t>” means an application submitted pursuant to Section 351 of the PHSA requesting permission from the FDA to introduce, or deliver for introduction, a biologic product into interstate commerce in the United States.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or similar governing body of the Company or any Subsidiary, as applicable.</w:t>
      </w:r>
    </w:p>
    <w:p>
      <w:pPr>
        <w:spacing w:after="0" w:line="225"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a Sunday, any day which is a legal holiday under the laws of the State of New York, or any day on which banking institutions located in the State of New York are required by law or other governmental action to close.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Call 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Call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Call Option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5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 Amount</w:t>
      </w:r>
      <w:r>
        <w:rPr>
          <w:rFonts w:ascii="Times New Roman" w:cs="Times New Roman" w:eastAsia="Times New Roman" w:hAnsi="Times New Roman"/>
          <w:sz w:val="18"/>
          <w:szCs w:val="18"/>
          <w:color w:val="auto"/>
        </w:rPr>
        <w:t>” means, as of the date of determination thereof, the amount equal to the product of (i) 1.95 and (ii) the Cumulative Purchaser Payments as of such date.</w:t>
      </w:r>
    </w:p>
    <w:p>
      <w:pPr>
        <w:spacing w:after="0" w:line="162" w:lineRule="exact"/>
        <w:rPr>
          <w:sz w:val="20"/>
          <w:szCs w:val="20"/>
          <w:color w:val="auto"/>
        </w:rPr>
      </w:pPr>
    </w:p>
    <w:p>
      <w:pPr>
        <w:ind w:left="4" w:right="28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Cash Equivalents</w:t>
      </w:r>
      <w:r>
        <w:rPr>
          <w:rFonts w:ascii="Times New Roman" w:cs="Times New Roman" w:eastAsia="Times New Roman" w:hAnsi="Times New Roman"/>
          <w:sz w:val="17"/>
          <w:szCs w:val="17"/>
          <w:color w:val="auto"/>
        </w:rPr>
        <w:t>” means (i) securities issued or unconditionally guaranteed or insured by the United States of America or any agency or instrumentality thereof, backed by the full faith and credit of the United States of America and maturing within one year from the date of acquisition,</w:t>
      </w:r>
    </w:p>
    <w:p>
      <w:pPr>
        <w:spacing w:after="0" w:line="1" w:lineRule="exact"/>
        <w:rPr>
          <w:sz w:val="20"/>
          <w:szCs w:val="20"/>
          <w:color w:val="auto"/>
        </w:rPr>
      </w:pPr>
    </w:p>
    <w:p>
      <w:pPr>
        <w:ind w:left="4" w:hanging="4"/>
        <w:spacing w:after="0" w:line="251" w:lineRule="auto"/>
        <w:tabs>
          <w:tab w:leader="none" w:pos="26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issued by any Person organized under the laws of the United States of America maturing within 360 days from the date of acquisition and, at the time of acquisition, having a rating of at least A-1 or the equivalent thereof by Standard &amp; Poor’s Ratings Services or at least P-1 or the equivalent thereof by Moody’s Investors Service, Inc., or F-1 or better by Fitch Investor Services, (iii) time deposits and certificates of deposit maturing within 360 days from the date of issuance (A) that are unconditionally guaranteed or insured by the United States of America or any agency or instrumentality thereof, backed by the full faith and credit of the United States of America or (B) that are issued by a bank or trust company organized under the laws of the United States of America (or any state thereof) (1) that has combined capital and surplus of at least $500,000,000 or (2) that has (or is a subsidiary of a bank holding company that has) a long-term unsecured debt rating of at least A or the equivalent thereof by Standard &amp; Poor’s Ratings Services or at least A2 or the equivalent thereof by Moody’s Investors Service, Inc. or A or better by Fitch Investor Services, (iv) investment funds investing at least ninety-five (95%) of their assets in securities of the types described in clauses (i) through (iii) and (v) below, and (v) money market funds that are SEC registered 2a-7 eligible only, have assets in excess of $1,000,000,000, offer a daily purchase/redemption feature and seek to maintain a constant share price; provided that, the Obligors will invest only in ‘no-load’ funds which have a constant $1.00 net asset value target.</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at any time, the occurrence of any of the following events or circumstances:</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22" w:name="page23"/>
    <w:bookmarkEnd w:id="22"/>
    <w:p>
      <w:pPr>
        <w:ind w:left="4" w:right="140" w:firstLine="436"/>
        <w:spacing w:after="0" w:line="258" w:lineRule="auto"/>
        <w:tabs>
          <w:tab w:leader="none" w:pos="68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acquisition by any “person” or “group” (within the meaning of Sections 13(d)(3) or 14(d)(2) of the Exchange Act), other than a Permitted Holder, of beneficial ownership of any Equity Interests of the Company, if after such acquisition, such “person” or “group”, other than a Permitted Holder, would be the “beneficial owner” (as defined in Rule 13d-3 under the Exchange Act), directly or indirectly, of securities of the Company representing more than forty-nine percent (49%) of the combined voting power of the Company’s then outstanding securities entitled to vote generally in the election of directors;</w:t>
      </w:r>
    </w:p>
    <w:p>
      <w:pPr>
        <w:spacing w:after="0" w:line="75" w:lineRule="exact"/>
        <w:rPr>
          <w:rFonts w:ascii="Times New Roman" w:cs="Times New Roman" w:eastAsia="Times New Roman" w:hAnsi="Times New Roman"/>
          <w:sz w:val="18"/>
          <w:szCs w:val="18"/>
          <w:color w:val="auto"/>
        </w:rPr>
      </w:pPr>
    </w:p>
    <w:p>
      <w:pPr>
        <w:ind w:left="4" w:right="60" w:firstLine="436"/>
        <w:spacing w:after="0" w:line="289" w:lineRule="auto"/>
        <w:tabs>
          <w:tab w:leader="none" w:pos="699"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merger or consolidation of the Company with any other Person, other than a merger or consolidation of the Company in which the Company is the surviving Person and which results in the Company’s voting securities outstanding immediately prior thereto continuing to represent more than fifty percent (50%) of the combined voting power of the Company’s voting securities outstanding immediately after such merger or consolidation;</w:t>
      </w:r>
    </w:p>
    <w:p>
      <w:pPr>
        <w:spacing w:after="0" w:line="49" w:lineRule="exact"/>
        <w:rPr>
          <w:rFonts w:ascii="Times New Roman" w:cs="Times New Roman" w:eastAsia="Times New Roman" w:hAnsi="Times New Roman"/>
          <w:sz w:val="17"/>
          <w:szCs w:val="17"/>
          <w:color w:val="auto"/>
        </w:rPr>
      </w:pPr>
    </w:p>
    <w:p>
      <w:pPr>
        <w:ind w:left="684" w:hanging="244"/>
        <w:spacing w:after="0"/>
        <w:tabs>
          <w:tab w:leader="none" w:pos="68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all or substantially all of the Company’s assets in any transaction or series of related transactions;</w:t>
      </w:r>
    </w:p>
    <w:p>
      <w:pPr>
        <w:spacing w:after="0" w:line="117"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Transfer by the Company or any of its Subsidiaries of any Primary Product Assets (other than a Transfer permitted by </w:t>
      </w:r>
      <w:r>
        <w:rPr>
          <w:rFonts w:ascii="Times New Roman" w:cs="Times New Roman" w:eastAsia="Times New Roman" w:hAnsi="Times New Roman"/>
          <w:sz w:val="18"/>
          <w:szCs w:val="18"/>
          <w:u w:val="single" w:color="auto"/>
          <w:color w:val="auto"/>
        </w:rPr>
        <w:t>Section 5.11(a)(x)</w:t>
      </w:r>
    </w:p>
    <w:p>
      <w:pPr>
        <w:spacing w:after="0" w:line="27"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1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5.11(a)(x)(F)</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u w:val="single" w:color="auto"/>
          <w:color w:val="auto"/>
        </w:rPr>
      </w:pPr>
    </w:p>
    <w:p>
      <w:pPr>
        <w:ind w:left="4" w:right="20" w:firstLine="436"/>
        <w:spacing w:after="0" w:line="266" w:lineRule="auto"/>
        <w:tabs>
          <w:tab w:leader="none" w:pos="68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Patrick Soon-Shiong (together with his Immediate Family Members, Affiliates and funds, investments, Persons, vehicles or accounts that are managed, sponsored, or advised by him or his Affiliates) ceases to beneficially own 35% or more of the Equity Interests of the Company entitled to vote for members of its Board on a fully diluted basis; or</w:t>
      </w:r>
    </w:p>
    <w:p>
      <w:pPr>
        <w:spacing w:after="0" w:line="67" w:lineRule="exact"/>
        <w:rPr>
          <w:rFonts w:ascii="Times New Roman" w:cs="Times New Roman" w:eastAsia="Times New Roman" w:hAnsi="Times New Roman"/>
          <w:sz w:val="18"/>
          <w:szCs w:val="18"/>
          <w:color w:val="auto"/>
        </w:rPr>
      </w:pPr>
    </w:p>
    <w:p>
      <w:pPr>
        <w:jc w:val="both"/>
        <w:ind w:left="4" w:right="100" w:firstLine="436"/>
        <w:spacing w:after="0" w:line="266" w:lineRule="auto"/>
        <w:tabs>
          <w:tab w:leader="none" w:pos="66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change of control, “fundamental change” or other similar provision, as defined in any agreement or instrument evidencing any Indebtedness in excess of prior to the Milestone, $5,000,000, and from and after the occurrence of the Milestone, $10,000,000, triggering a default, a mandatory prepayment or other obligation to repurchase, redeem or repay such Indebtedness.</w:t>
      </w:r>
    </w:p>
    <w:p>
      <w:pPr>
        <w:spacing w:after="0" w:line="176"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Clinical Trial</w:t>
      </w:r>
      <w:r>
        <w:rPr>
          <w:rFonts w:ascii="Times New Roman" w:cs="Times New Roman" w:eastAsia="Times New Roman" w:hAnsi="Times New Roman"/>
          <w:sz w:val="18"/>
          <w:szCs w:val="18"/>
          <w:color w:val="auto"/>
        </w:rPr>
        <w:t>” means any clinical trial or investigation and any non-clinical investigations of the Included Products conducted by or on behalf of the Company or any Subsidiary.</w:t>
      </w:r>
    </w:p>
    <w:p>
      <w:pPr>
        <w:spacing w:after="0" w:line="162"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Clinical Trial Application</w:t>
      </w:r>
      <w:r>
        <w:rPr>
          <w:rFonts w:ascii="Times New Roman" w:cs="Times New Roman" w:eastAsia="Times New Roman" w:hAnsi="Times New Roman"/>
          <w:sz w:val="18"/>
          <w:szCs w:val="18"/>
          <w:color w:val="auto"/>
        </w:rPr>
        <w:t>” means any application or submission to any Regulatory Agency for authorization of the investigation of any product in any country or group of countries.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Clinical Updates</w:t>
      </w:r>
      <w:r>
        <w:rPr>
          <w:rFonts w:ascii="Times New Roman" w:cs="Times New Roman" w:eastAsia="Times New Roman" w:hAnsi="Times New Roman"/>
          <w:sz w:val="18"/>
          <w:szCs w:val="18"/>
          <w:color w:val="auto"/>
        </w:rPr>
        <w:t>” means, with respect to each ongoing or proposed Clinical Trial, a summary of</w:t>
      </w:r>
    </w:p>
    <w:p>
      <w:pPr>
        <w:spacing w:after="0" w:line="117" w:lineRule="exact"/>
        <w:rPr>
          <w:sz w:val="20"/>
          <w:szCs w:val="20"/>
          <w:color w:val="auto"/>
        </w:rPr>
      </w:pPr>
    </w:p>
    <w:p>
      <w:pPr>
        <w:ind w:left="4" w:firstLine="436"/>
        <w:spacing w:after="0" w:line="258" w:lineRule="auto"/>
        <w:tabs>
          <w:tab w:leader="none" w:pos="68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current status of enrollment, (b) the estimated completion date, (c) the status of any clinical hold imposed, or threatened to be imposed, by any Regulatory Agency, (d) any unexpected fatal or life-threatening suspected adverse reaction, as that term is defined in 21 CFR 312.32 (or comparable regulations under other Applicable Law), and (e) any other material information and developments with respect to such Clinical Trial, including any change or modification to or termination of such Clinical Trial;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with respect to any Clinical Trial not related to Anktiva, copies of updates provided to the Board of the Company shall be sufficient to constitute Clinical Updates.</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December 29, 2023.</w:t>
      </w:r>
    </w:p>
    <w:p>
      <w:pPr>
        <w:spacing w:after="0" w:line="225" w:lineRule="exact"/>
        <w:rPr>
          <w:sz w:val="20"/>
          <w:szCs w:val="20"/>
          <w:color w:val="auto"/>
        </w:rPr>
      </w:pPr>
    </w:p>
    <w:p>
      <w:pPr>
        <w:ind w:left="4" w:right="8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 “</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has the meaning set forth in the Security Agreement.</w:t>
      </w:r>
    </w:p>
    <w:p>
      <w:pPr>
        <w:spacing w:after="0" w:line="162"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Commercial Updates</w:t>
      </w:r>
      <w:r>
        <w:rPr>
          <w:rFonts w:ascii="Times New Roman" w:cs="Times New Roman" w:eastAsia="Times New Roman" w:hAnsi="Times New Roman"/>
          <w:sz w:val="18"/>
          <w:szCs w:val="18"/>
          <w:color w:val="auto"/>
        </w:rPr>
        <w:t>” means material information and developments with respect to the Obligors’ Commercialization plans and prospects for the Included Products.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23" w:name="page24"/>
    <w:bookmarkEnd w:id="23"/>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Commercialization</w:t>
      </w:r>
      <w:r>
        <w:rPr>
          <w:rFonts w:ascii="Times New Roman" w:cs="Times New Roman" w:eastAsia="Times New Roman" w:hAnsi="Times New Roman"/>
          <w:sz w:val="18"/>
          <w:szCs w:val="18"/>
          <w:color w:val="auto"/>
        </w:rPr>
        <w:t>” means any and all activities, other than manufacturing, directed to the preparation for sale of, or sale of the Included Products, including activities related to marketing, promoting, distributing, and importing the Included Products, and interacting with Regulatory Agencies regarding any of the foregoing. When used as a verb, “</w:t>
      </w:r>
      <w:r>
        <w:rPr>
          <w:rFonts w:ascii="Times New Roman" w:cs="Times New Roman" w:eastAsia="Times New Roman" w:hAnsi="Times New Roman"/>
          <w:sz w:val="18"/>
          <w:szCs w:val="18"/>
          <w:u w:val="single" w:color="auto"/>
          <w:color w:val="auto"/>
        </w:rPr>
        <w:t>to Commercialize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Commercializing</w:t>
      </w:r>
      <w:r>
        <w:rPr>
          <w:rFonts w:ascii="Times New Roman" w:cs="Times New Roman" w:eastAsia="Times New Roman" w:hAnsi="Times New Roman"/>
          <w:sz w:val="18"/>
          <w:szCs w:val="18"/>
          <w:color w:val="auto"/>
        </w:rPr>
        <w:t>” means to engage in Commercialization, and “</w:t>
      </w:r>
      <w:r>
        <w:rPr>
          <w:rFonts w:ascii="Times New Roman" w:cs="Times New Roman" w:eastAsia="Times New Roman" w:hAnsi="Times New Roman"/>
          <w:sz w:val="18"/>
          <w:szCs w:val="18"/>
          <w:u w:val="single" w:color="auto"/>
          <w:color w:val="auto"/>
        </w:rPr>
        <w:t>Commercialized</w:t>
      </w:r>
      <w:r>
        <w:rPr>
          <w:rFonts w:ascii="Times New Roman" w:cs="Times New Roman" w:eastAsia="Times New Roman" w:hAnsi="Times New Roman"/>
          <w:sz w:val="18"/>
          <w:szCs w:val="18"/>
          <w:color w:val="auto"/>
        </w:rPr>
        <w:t>” has a corresponding meaning.</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first paragraph hereof.</w:t>
      </w:r>
    </w:p>
    <w:p>
      <w:pPr>
        <w:spacing w:after="0" w:line="225"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Competitor</w:t>
      </w:r>
      <w:r>
        <w:rPr>
          <w:rFonts w:ascii="Times New Roman" w:cs="Times New Roman" w:eastAsia="Times New Roman" w:hAnsi="Times New Roman"/>
          <w:sz w:val="18"/>
          <w:szCs w:val="18"/>
          <w:color w:val="auto"/>
        </w:rPr>
        <w:t>” means, at any time of determination, any Person (and each other Person that owns or controls, directly or indirectly, such Person, or that controls or is controlled by or is under common control with such Person) that is an operating company and that directly and primarily engaged in the same, substantially the same, or similar line of business as the Company and its Subsidiaries, taken as a whole, as of such time. As used in this definition, “control” means (a) direct or indirect beneficial ownership of at least fifty percent (50%) (or such lesser percentage which is the maximum allowed to be owned by a foreign corporation in a particular jurisdiction) of the voting share capital or other equity interest in a Person or (b) the power to direct or cause the direction of the management of such Person by contract or otherwise.</w:t>
      </w:r>
    </w:p>
    <w:p>
      <w:pPr>
        <w:spacing w:after="0" w:line="18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means that certain certificate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all confidential and/or proprietary financial (including term sheets, transaction structures and draft agreements or amendments to a Transaction Document and any discussions or negotiations related thereto), business, marketing, operations, regulatory, strategic and/or scientific information (including all originals, copies, digests and summaries thereof) of any Disclosing Party and/or its affiliates that is known to such Disclosing Party and/or its affiliates prior to or after the date hereof.</w:t>
      </w:r>
    </w:p>
    <w:p>
      <w:pPr>
        <w:spacing w:after="0" w:line="18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provided that with respect to any Intellectual Property, “control” means that the applicable Person owns or has a license to such item or right and has the ability to grant to a party a license, sublicense, or rights of access and use under such item or right without (a) violating the terms or conditions of any agreement or other arrangement between such Person and any Third Party in existence as of the time such party would be required hereunder to grant such license, sublicense, or rights of access and use, and (b) paying any consideration to any Third Party. “Controlling” and “Controlled” have meanings correlative thereto.</w:t>
      </w:r>
    </w:p>
    <w:p>
      <w:pPr>
        <w:spacing w:after="0" w:line="18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 Agreement</w:t>
      </w:r>
      <w:r>
        <w:rPr>
          <w:rFonts w:ascii="Times New Roman" w:cs="Times New Roman" w:eastAsia="Times New Roman" w:hAnsi="Times New Roman"/>
          <w:sz w:val="18"/>
          <w:szCs w:val="18"/>
          <w:color w:val="auto"/>
        </w:rPr>
        <w:t>” means, with respect to any deposit account, any securities account, commodity account, securities entitlement or commodity contract, an agreement, in form and substance reasonably satisfactory to the Purchaser Agent, among the Purchaser Agent, the financial institution or other Person at which such account is maintained or with which such entitlement or contract is carried and the Obligor maintaining such account, effective to grant “control” (as defined under the relevant Uniform Commercial Code) over such account to the Purchaser Agent.</w:t>
      </w:r>
    </w:p>
    <w:p>
      <w:pPr>
        <w:spacing w:after="0" w:line="180"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Benefit Limitations</w:t>
      </w:r>
      <w:r>
        <w:rPr>
          <w:rFonts w:ascii="Times New Roman" w:cs="Times New Roman" w:eastAsia="Times New Roman" w:hAnsi="Times New Roman"/>
          <w:sz w:val="18"/>
          <w:szCs w:val="18"/>
          <w:color w:val="auto"/>
        </w:rPr>
        <w:t>” means, with respect to any Guaranty or the grant or perfection of any security interest by any Foreign Guarantor, any limitations on such Guaranty or such grant or perfection imposed pursuant to Applicable Law (other than limitations that do not impair the rights and remedies of the Secured Parties more than analogous restrictions imposed under the laws of the United States as reasonably determined by Purchaser Agent).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24" w:name="page25"/>
    <w:bookmarkEnd w:id="24"/>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Covered Territory</w:t>
      </w:r>
      <w:r>
        <w:rPr>
          <w:rFonts w:ascii="Times New Roman" w:cs="Times New Roman" w:eastAsia="Times New Roman" w:hAnsi="Times New Roman"/>
          <w:sz w:val="18"/>
          <w:szCs w:val="18"/>
          <w:color w:val="auto"/>
        </w:rPr>
        <w:t>” means the entire world, excluding the People’s Republic of China, Hong Kong and any territories controlled by the People’s Republic of China.</w:t>
      </w:r>
    </w:p>
    <w:p>
      <w:pPr>
        <w:spacing w:after="0" w:line="162" w:lineRule="exact"/>
        <w:rPr>
          <w:sz w:val="20"/>
          <w:szCs w:val="20"/>
          <w:color w:val="auto"/>
        </w:rPr>
      </w:pPr>
    </w:p>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Cumulative Purchaser Payments</w:t>
      </w:r>
      <w:r>
        <w:rPr>
          <w:rFonts w:ascii="Times New Roman" w:cs="Times New Roman" w:eastAsia="Times New Roman" w:hAnsi="Times New Roman"/>
          <w:sz w:val="18"/>
          <w:szCs w:val="18"/>
          <w:color w:val="auto"/>
        </w:rPr>
        <w:t xml:space="preserve">” shall mean (a) if the Purchasers have made the First Payment, $200,000,000 </w:t>
      </w:r>
      <w:r>
        <w:rPr>
          <w:rFonts w:ascii="Times New Roman" w:cs="Times New Roman" w:eastAsia="Times New Roman" w:hAnsi="Times New Roman"/>
          <w:sz w:val="18"/>
          <w:szCs w:val="18"/>
          <w:color w:val="FF0000"/>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(b) if the Purchasers have made the First Payment and the Second Payment, $300,000,000</w:t>
      </w:r>
      <w:r>
        <w:rPr>
          <w:rFonts w:ascii="Times New Roman" w:cs="Times New Roman" w:eastAsia="Times New Roman" w:hAnsi="Times New Roman"/>
          <w:sz w:val="18"/>
          <w:szCs w:val="18"/>
          <w:u w:val="single" w:color="auto"/>
          <w:color w:val="0000FF"/>
        </w:rPr>
        <w:t>, and (c) if the Purchasers have made the First Payment, the Second Payment 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Third Payment, $375,000,000</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5369560</wp:posOffset>
            </wp:positionH>
            <wp:positionV relativeFrom="paragraph">
              <wp:posOffset>-364490</wp:posOffset>
            </wp:positionV>
            <wp:extent cx="1936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5560695</wp:posOffset>
            </wp:positionH>
            <wp:positionV relativeFrom="paragraph">
              <wp:posOffset>-278765</wp:posOffset>
            </wp:positionV>
            <wp:extent cx="342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2920365</wp:posOffset>
            </wp:positionH>
            <wp:positionV relativeFrom="paragraph">
              <wp:posOffset>-141605</wp:posOffset>
            </wp:positionV>
            <wp:extent cx="38747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47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13716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5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Room</w:t>
      </w:r>
      <w:r>
        <w:rPr>
          <w:rFonts w:ascii="Times New Roman" w:cs="Times New Roman" w:eastAsia="Times New Roman" w:hAnsi="Times New Roman"/>
          <w:sz w:val="18"/>
          <w:szCs w:val="18"/>
          <w:color w:val="auto"/>
        </w:rPr>
        <w:t>” means the electronic data room materials accessible to the Purchaser Agent in the rooms labeled (a) “Project Infinity 2.0” hosted by Donnelley Financial Solutions and (b) Project Infinity 2.0 – Additional Regulatory Information (Confidential) hosted through the nant.securevdr.com server, and maintained by the Obligors in connection with the transactions contemplated under this Agreement, as such materials existed as of 5:00 p.m. EST on the date that is one calendar day prior to the Closing Date.</w:t>
      </w:r>
    </w:p>
    <w:p>
      <w:pPr>
        <w:spacing w:after="0" w:line="180"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Development</w:t>
      </w:r>
      <w:r>
        <w:rPr>
          <w:rFonts w:ascii="Times New Roman" w:cs="Times New Roman" w:eastAsia="Times New Roman" w:hAnsi="Times New Roman"/>
          <w:sz w:val="18"/>
          <w:szCs w:val="18"/>
          <w:color w:val="auto"/>
        </w:rPr>
        <w:t>” means all activities related to discovery, research, development, creation and prosecution of Intellectual Property, pre-clinical and other non-clinical testing, test method development and stability testing, toxicology, formulation, process development, manufacturing scale-up, qualification and validation, quality assurance/quality control, clinical studies, including Manufacturing in support thereof, statistical analysis and report writing, the preparation and submission of Drug Approval Applications, regulatory affairs with respect to the foregoing and all other activities necessary or reasonably useful or otherwise requested or required by a Regulatory Agency as a condition or in support of obtaining or maintaining a Regulatory Approval. When used as a verb, “</w:t>
      </w:r>
      <w:r>
        <w:rPr>
          <w:rFonts w:ascii="Times New Roman" w:cs="Times New Roman" w:eastAsia="Times New Roman" w:hAnsi="Times New Roman"/>
          <w:sz w:val="18"/>
          <w:szCs w:val="18"/>
          <w:u w:val="single" w:color="auto"/>
          <w:color w:val="auto"/>
        </w:rPr>
        <w:t>Develop</w:t>
      </w:r>
      <w:r>
        <w:rPr>
          <w:rFonts w:ascii="Times New Roman" w:cs="Times New Roman" w:eastAsia="Times New Roman" w:hAnsi="Times New Roman"/>
          <w:sz w:val="18"/>
          <w:szCs w:val="18"/>
          <w:color w:val="auto"/>
        </w:rPr>
        <w:t>” means to engage in Development.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Disclosing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Letter</w:t>
      </w:r>
      <w:r>
        <w:rPr>
          <w:rFonts w:ascii="Times New Roman" w:cs="Times New Roman" w:eastAsia="Times New Roman" w:hAnsi="Times New Roman"/>
          <w:sz w:val="18"/>
          <w:szCs w:val="18"/>
          <w:color w:val="auto"/>
        </w:rPr>
        <w:t>” means the disclosure letter, dated as of the Closing Date, as may be supplemented from time to time by the Company in accordance with the terms of this Agreement and the other Transaction Documents, delivered by the Company and the other Obligors to Purchase Agent for the benefit of the Purchasers.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Equity Interests”</w:t>
      </w:r>
      <w:r>
        <w:rPr>
          <w:rFonts w:ascii="Times New Roman" w:cs="Times New Roman" w:eastAsia="Times New Roman" w:hAnsi="Times New Roman"/>
          <w:sz w:val="18"/>
          <w:szCs w:val="18"/>
          <w:color w:val="auto"/>
        </w:rPr>
        <w:t xml:space="preserve"> means Equity Interests that, by their terms (or by the terms of any security or other Equity Interest into which they are convertible or for which they are exchangeable), or upon the happening of any event or condition, (a) mature (excluding any maturity as the result of an optional redemption by the issuer thereof) or are mandatorily redeemable (other than solely for Qualified Equity Interests and/or cash in lieu of fractional shares of such Equity Interests), pursuant to a sinking fund obligation or otherwise, or are redeemable at the option of the holder thereof (other than solely for Qualified Equity Interests and/or cash in lieu of fractional shares of such Equity Interests), in whole or in part, (b) are convertible into or exchangeable for (i) Indebtedness or (ii) any Equity Interests referred to in clause (a) above, (c) contain any repurchase obligation or (d) contain any repurchase obligation or provides for mandatory distributions or the payment of cash dividends or distributions, in the case of each of the foregoing clauses (a), (b), (c) and (d), prior to the date that is 91 days after the Maturity Date in effect at the time of the issuance thereof; provided that if such Equity Interests are issued pursuant to a plan or compensatory stand-alone agreement for the benefit of the Company or any Subsidiary or their directors, officers, employees and/or consultants or by any such plan or agreement to directors, officers, employees or consultants of the Company or any Subsidiary, such Equity Interests shall not constitute Disqualified Equity Interests solely because they may be required to be repurchased by the Company or any Subsidiary in order to satisfy applicable statutory or regulatory obligations or as a result of such director, officer, employee or consultant’s termination of service, death or disability.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25" w:name="page26"/>
    <w:bookmarkEnd w:id="25"/>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Drug Approval Application</w:t>
      </w:r>
      <w:r>
        <w:rPr>
          <w:rFonts w:ascii="Times New Roman" w:cs="Times New Roman" w:eastAsia="Times New Roman" w:hAnsi="Times New Roman"/>
          <w:sz w:val="18"/>
          <w:szCs w:val="18"/>
          <w:color w:val="auto"/>
        </w:rPr>
        <w:t>” means a New Drug Application submitted pursuant to Section 505 of the FFDCA, a Biologics License Application, or any corresponding foreign application (in each case, including any amendment or supplement thereto) for an Included Product.</w:t>
      </w:r>
    </w:p>
    <w:p>
      <w:pPr>
        <w:spacing w:after="0" w:line="162" w:lineRule="exact"/>
        <w:rPr>
          <w:sz w:val="20"/>
          <w:szCs w:val="20"/>
          <w:color w:val="auto"/>
        </w:rPr>
      </w:pPr>
    </w:p>
    <w:p>
      <w:pPr>
        <w:ind w:right="3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Dunkirk Lease</w:t>
      </w:r>
      <w:r>
        <w:rPr>
          <w:rFonts w:ascii="Times New Roman" w:cs="Times New Roman" w:eastAsia="Times New Roman" w:hAnsi="Times New Roman"/>
          <w:sz w:val="18"/>
          <w:szCs w:val="18"/>
          <w:color w:val="auto"/>
        </w:rPr>
        <w:t>” means that certain Fort Schuyler Management Corporation Lease, dated October 1, 2021, by and among Fort Schuyler Management Corporation, a not-for-profit corporation existing under the laws of the State of New York, and the Company (as assignee of Athenex, Inc.), as amended by that certain First Amendment to Lease, effective as of February 14, 2022, and related transaction documents, each as amended, supplemented or otherwise modified from time to time in any manner (i) not adverse to the Company, Purchaser Agent or the Purchasers or (ii) approved in writing by Purchaser Agent.</w:t>
      </w:r>
    </w:p>
    <w:p>
      <w:pPr>
        <w:spacing w:after="0" w:line="183"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62" w:lineRule="exact"/>
        <w:rPr>
          <w:sz w:val="20"/>
          <w:szCs w:val="20"/>
          <w:color w:val="auto"/>
        </w:rPr>
      </w:pPr>
    </w:p>
    <w:p>
      <w:pPr>
        <w:ind w:right="2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Eligible Assignee</w:t>
      </w:r>
      <w:r>
        <w:rPr>
          <w:rFonts w:ascii="Times New Roman" w:cs="Times New Roman" w:eastAsia="Times New Roman" w:hAnsi="Times New Roman"/>
          <w:sz w:val="17"/>
          <w:szCs w:val="17"/>
          <w:color w:val="auto"/>
        </w:rPr>
        <w:t>” is (i) any Purchaser, (ii) any Affiliate of a Purchaser or any fund or investment vehicle managed by a Purchaser or an Affiliate of a Purchaser or under common management with a Purchaser and (iii) any Person that, to the knowledge of the Purchaser Agent, is a “qualified institutional buyer” (as defined in Rule 144A under the Securities Act of 1933, as amended) or an “accredited investor” (as defined in Rule 501(a)(1),</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(2), (3) or (7)) with assets under management (together with its Affiliates) of at least $150,000,000, as determined by the Purchaser Agent in its good faith discretion; provided that, notwithstanding the foregoing, “Eligible Assignee” shall not include, unless a Put Option Event, or any event that with the giving of notice or passage of time would constitute a Put Option Event, has occurred and is continuing, (x) any Competitor identified by the Company in writing as such from time to time, (y) any Person identified to the Purchaser Agent by an Obligor in writing on or prior to the Closing Date, and in case any Affiliate thereof that is identifiable as such by name (or otherwise known to any Purchaser to be an Affiliate of such Person), or (z) any hedge fund primarily focused on stockholder activism or distressed investments (as determined in good faith by Purchaser Agent).</w:t>
      </w:r>
    </w:p>
    <w:p>
      <w:pPr>
        <w:spacing w:after="0" w:line="190" w:lineRule="exact"/>
        <w:rPr>
          <w:sz w:val="20"/>
          <w:szCs w:val="20"/>
          <w:color w:val="auto"/>
        </w:rPr>
      </w:pPr>
    </w:p>
    <w:p>
      <w:pPr>
        <w:ind w:right="4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federal, state, local, foreign and other applicable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80"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any and all shares, interests, participations or other equivalents (however designated) of equity interests of a corporation, any and all equivalent ownership interests in a Person other than a corporation (including, without limitation, partnership interests, membership interests and similar ownership interests), any and all warrants, rights or options to purchase or other arrangements or rights to acquire any of the foregoing, and all other ownership or profit interests in a Person (including partnership, member or trusts interests in such Person), in each case whether voting or non-voting and whether or not outstanding on any date of determination; provided that Equity Interests shall not include any Permitted Convertible Notes or Existing Subordinated Indebtedness.</w:t>
      </w:r>
    </w:p>
    <w:p>
      <w:pPr>
        <w:spacing w:after="0" w:line="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and its regulations.</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Person, trade or business (whether or not incorporated) under common control with any Obligor within the meaning of Section 414(b) or (c) of the Code (and Sections 414(b), (c), (m) and (o) of the Code for purposes or Section 4001(b) of ERISA.</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26" w:name="page27"/>
    <w:bookmarkEnd w:id="26"/>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 Reportable Event (as defined in ERISA) with respect to a Pension Plan; (b) the failure by an Obligor or any ERISA Affiliate to meet all applicable requirements under the Pension Funding Rules or the filing of an application for the waiver of the minimum funding standards under the Pension Funding Rules; (c) the incurrence by an Obligor or any ERISA Affiliate of any liability pursuant to Section 4063 or 4064 of ERISA or a cessation of operations with respect to a Pension Plan within the meaning of Section 4062(e) of ERISA; (d) a complete or partial withdrawal by an Obligor or any ERISA Affiliate from a Multiemployer Plan or notification that a Multiemployer Plan is in reorganization or insolvent (within the meaning of Title IV of ERISA); (e) the filing of a notice of intent to terminate a Pension Plan under, or the treatment of a Pension Plan amendment as a termination under, Section 4041 of ERISA; (f) the institution by the PBGC of proceedings to terminate a Pension Plan; (g) any event or condition that constitutes grounds under Section 4042 of ERISA for the termination of, or the appointment of a trustee to administer, any Pension Plan; (h) the determination that any Pension Plan is in at-risk status (within the meaning of Section 430 of the Code or Section 303 of ERISA) or that a Multiemployer Plan is in endangered or critical status (within the meaning of Section 432 of the Code or Section 305 of ERISA); (i) the imposition or incurrence of any liability under Title IV of ERISA, other than for PBGC premiums due but not delinquent under Section 4007 of ERISA, upon any Obligor or any ERISA Affiliate; (j) the engagement by any Obligor or any ERISA Affiliate in a transaction that could be subject to Section 4069 or Section 4212(c) of ERISA; (k) the imposition of a lien upon any Obligor pursuant to Section 430(k) of the Code or Section 303(k) of ERISA; (l) the making of an amendment to a Pension Plan that could result in the posting of bond or security under Section 436(f)(1) of the Code; or (m) a Foreign Plan Event.</w:t>
      </w:r>
    </w:p>
    <w:p>
      <w:pPr>
        <w:spacing w:after="0" w:line="19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4" w:right="12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Excluded Accounts</w:t>
      </w:r>
      <w:r>
        <w:rPr>
          <w:rFonts w:ascii="Times New Roman" w:cs="Times New Roman" w:eastAsia="Times New Roman" w:hAnsi="Times New Roman"/>
          <w:sz w:val="17"/>
          <w:szCs w:val="17"/>
          <w:color w:val="auto"/>
        </w:rPr>
        <w:t>” means (a) any deposit accounts solely used for (i) funding payroll or segregating payroll taxes or funding other employee wage or benefit payments, (ii) segregating 401(k) contributions or contributions to an employee stock purchase plan and other health and benefit plans, in each case for payment in accordance with Applicable Laws, and (iii) containing solely cash secured by a Permitted Lien under clauses (b), (m), (n),</w:t>
      </w:r>
    </w:p>
    <w:p>
      <w:pPr>
        <w:spacing w:after="0" w:line="2" w:lineRule="exact"/>
        <w:rPr>
          <w:sz w:val="20"/>
          <w:szCs w:val="20"/>
          <w:color w:val="auto"/>
        </w:rPr>
      </w:pPr>
    </w:p>
    <w:p>
      <w:pPr>
        <w:ind w:left="264" w:hanging="264"/>
        <w:spacing w:after="0"/>
        <w:tabs>
          <w:tab w:leader="none" w:pos="2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and/or (w) thereof and (b) withholding tax, fiduciary accounts, trust accounts and escrow accounts (including customer reserve or deposit accounts),</w:t>
      </w:r>
    </w:p>
    <w:p>
      <w:pPr>
        <w:spacing w:after="0" w:line="9" w:lineRule="exact"/>
        <w:rPr>
          <w:rFonts w:ascii="Times New Roman" w:cs="Times New Roman" w:eastAsia="Times New Roman" w:hAnsi="Times New Roman"/>
          <w:sz w:val="18"/>
          <w:szCs w:val="18"/>
          <w:color w:val="auto"/>
        </w:rPr>
      </w:pPr>
    </w:p>
    <w:p>
      <w:pPr>
        <w:ind w:left="4" w:right="300" w:hanging="4"/>
        <w:spacing w:after="0" w:line="255" w:lineRule="auto"/>
        <w:tabs>
          <w:tab w:leader="none" w:pos="24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zero balance accounts, (d) worker’s compensation and health savings accounts, (e) deposit accounts, securities accounts and commodity accounts exclusively used for withholding taxes, goods and services taxes and sales taxes, and (f) other accounts holding cash and/or Cash Equivalents in an aggregate amount not in excess of (i) $500,000 for each such account and (ii) $1,000,000 for all such accounts.</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Liabilities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0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means (a) any Foreign Subsidiary that is prohibited by Applicable Law or by any contractual obligation existing on the date of acquisition or formation of such Subsidiary (provided such contractual obligation was not entered into in contemplation thereof) from guaranteeing the Obligations or any Subsidiary that would require the approval of any Governmental Authority in order to guarantee the Obligations unless such approval has been received or can be obtained by the Subsidiary through the use of commercially reasonable efforts, (b) any Immaterial Subsidiary and (c) GlobeImmune, Inc.</w:t>
      </w:r>
    </w:p>
    <w:p>
      <w:pPr>
        <w:spacing w:after="0" w:line="75" w:lineRule="exact"/>
        <w:rPr>
          <w:sz w:val="20"/>
          <w:szCs w:val="20"/>
          <w:color w:val="auto"/>
        </w:rPr>
      </w:pPr>
    </w:p>
    <w:p>
      <w:pPr>
        <w:ind w:left="4" w:right="6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Excluded Taxes</w:t>
      </w:r>
      <w:r>
        <w:rPr>
          <w:rFonts w:ascii="Times New Roman" w:cs="Times New Roman" w:eastAsia="Times New Roman" w:hAnsi="Times New Roman"/>
          <w:sz w:val="17"/>
          <w:szCs w:val="17"/>
          <w:color w:val="auto"/>
        </w:rPr>
        <w:t>” means any of the following Taxes, (a) Taxes imposed on or measured by net income (however denominated), franchise Taxes, and branch profits Taxes, in each case, (i) imposed as a result of the Person liable for such Tax being organized under the laws of, or having its principal office or applicable office located in the jurisdiction imposing such Tax (or any political subdivision thereof) or (ii) that are Other Connection Taxes,</w:t>
      </w:r>
    </w:p>
    <w:p>
      <w:pPr>
        <w:spacing w:after="0" w:line="2" w:lineRule="exact"/>
        <w:rPr>
          <w:sz w:val="20"/>
          <w:szCs w:val="20"/>
          <w:color w:val="auto"/>
        </w:rPr>
      </w:pPr>
    </w:p>
    <w:p>
      <w:pPr>
        <w:ind w:left="4" w:right="280" w:hanging="4"/>
        <w:spacing w:after="0" w:line="265" w:lineRule="auto"/>
        <w:tabs>
          <w:tab w:leader="none" w:pos="259"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federal, state or local withholding Taxes imposed in respect of a Person with respect to an applicable interest in the Obligations or Purchaser Commitment pursuant to a law in effect on the date on which (i) such Person acquires such interest in the Obligations or Purchaser Commitment or</w:t>
      </w:r>
    </w:p>
    <w:p>
      <w:pPr>
        <w:ind w:left="4" w:right="200" w:hanging="4"/>
        <w:spacing w:after="0" w:line="260" w:lineRule="auto"/>
        <w:tabs>
          <w:tab w:leader="none" w:pos="26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changes its applicable office, (c) Taxes attributable to a Purchaser’s failure to comply with Section 5.12(d), (d) any withholding Taxes imposed under FATCA and (e) non-U.S. Taxes.</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27" w:name="page28"/>
    <w:bookmarkEnd w:id="27"/>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Existing Stockholder Indebtedness</w:t>
      </w:r>
      <w:r>
        <w:rPr>
          <w:rFonts w:ascii="Times New Roman" w:cs="Times New Roman" w:eastAsia="Times New Roman" w:hAnsi="Times New Roman"/>
          <w:sz w:val="18"/>
          <w:szCs w:val="18"/>
          <w:color w:val="auto"/>
        </w:rPr>
        <w:t xml:space="preserve">” means the indebtedness of the Company evidenced by the agreements set forth on </w:t>
      </w:r>
      <w:r>
        <w:rPr>
          <w:rFonts w:ascii="Times New Roman" w:cs="Times New Roman" w:eastAsia="Times New Roman" w:hAnsi="Times New Roman"/>
          <w:sz w:val="18"/>
          <w:szCs w:val="18"/>
          <w:u w:val="single" w:color="auto"/>
          <w:color w:val="auto"/>
        </w:rPr>
        <w:t>Schedule 2.03(b)(i)(M)</w:t>
      </w:r>
      <w:r>
        <w:rPr>
          <w:rFonts w:ascii="Times New Roman" w:cs="Times New Roman" w:eastAsia="Times New Roman" w:hAnsi="Times New Roman"/>
          <w:sz w:val="18"/>
          <w:szCs w:val="18"/>
          <w:color w:val="auto"/>
        </w:rPr>
        <w:t xml:space="preserve"> to the Disclosure Letter, the Amended Stockholder Note (as defined in the First Amendment) and any modifications, refinancings, refundings, replacements, exchanges, renewals, extensions and/or restatements thereof pursuant to clause (o) of the definition of Permitted Indebtedness.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means the United States Food and Drug Administration or any successor federal agency thereto.</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 Approval Date</w:t>
      </w:r>
      <w:r>
        <w:rPr>
          <w:rFonts w:ascii="Times New Roman" w:cs="Times New Roman" w:eastAsia="Times New Roman" w:hAnsi="Times New Roman"/>
          <w:sz w:val="18"/>
          <w:szCs w:val="18"/>
          <w:color w:val="auto"/>
        </w:rPr>
        <w:t>” means the date on which the FDA has granted approval for Anktiva in combination with BCG (Bacillus Calmette-Guérin) for the treatment of patients with BCG-unresponsive non-muscle invasive bladder cancer with carcinoma in situ with or without Ta or T1 disease with a label that is substantially similar to the label included in the Biologics License Application 761336 submitted for approval to the FDA on or around October 20, 2023 in response to the complete response letter delivered by the FDA to the Company on May 9, 2023.</w:t>
      </w:r>
    </w:p>
    <w:p>
      <w:pPr>
        <w:spacing w:after="0" w:line="180"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FFDCA</w:t>
      </w:r>
      <w:r>
        <w:rPr>
          <w:rFonts w:ascii="Times New Roman" w:cs="Times New Roman" w:eastAsia="Times New Roman" w:hAnsi="Times New Roman"/>
          <w:sz w:val="18"/>
          <w:szCs w:val="18"/>
          <w:color w:val="auto"/>
        </w:rPr>
        <w:t>” means the United States Federal Food, Drug, and Cosmetic Act, as amended from time to time, together with any regulations promulgated thereunder (including all additions, supplements, extensions, and modifications thereto).</w:t>
      </w:r>
    </w:p>
    <w:p>
      <w:pPr>
        <w:spacing w:after="0" w:line="162" w:lineRule="exact"/>
        <w:rPr>
          <w:sz w:val="20"/>
          <w:szCs w:val="20"/>
          <w:color w:val="auto"/>
        </w:rPr>
      </w:pPr>
    </w:p>
    <w:p>
      <w:pPr>
        <w:ind w:right="80" w:firstLine="44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Financial Statements</w:t>
      </w:r>
      <w:r>
        <w:rPr>
          <w:rFonts w:ascii="Times New Roman" w:cs="Times New Roman" w:eastAsia="Times New Roman" w:hAnsi="Times New Roman"/>
          <w:sz w:val="17"/>
          <w:szCs w:val="17"/>
          <w:color w:val="auto"/>
        </w:rPr>
        <w:t>” means (a) the audited consolidated balance sheets of the Company and its Subsidiaries as of December 31, 2022 and December 31, 2021 and the related consolidated statements of operations, comprehensive loss and stockholders’ equity (deficit) and cash flows for the years then ended (the “</w:t>
      </w:r>
      <w:r>
        <w:rPr>
          <w:rFonts w:ascii="Times New Roman" w:cs="Times New Roman" w:eastAsia="Times New Roman" w:hAnsi="Times New Roman"/>
          <w:sz w:val="17"/>
          <w:szCs w:val="17"/>
          <w:u w:val="single" w:color="auto"/>
          <w:color w:val="auto"/>
        </w:rPr>
        <w:t>Audited Financial Statements</w:t>
      </w:r>
      <w:r>
        <w:rPr>
          <w:rFonts w:ascii="Times New Roman" w:cs="Times New Roman" w:eastAsia="Times New Roman" w:hAnsi="Times New Roman"/>
          <w:sz w:val="17"/>
          <w:szCs w:val="17"/>
          <w:color w:val="auto"/>
        </w:rPr>
        <w:t>”), (b) the unaudited balance sheets of the Company as of September 30, 2023 and the related consolidated statements of operations, comprehensive loss and stockholders’ equity (deficit) and cash flows for the three (3) month and nine (9) month periods then ended (the “</w:t>
      </w:r>
      <w:r>
        <w:rPr>
          <w:rFonts w:ascii="Times New Roman" w:cs="Times New Roman" w:eastAsia="Times New Roman" w:hAnsi="Times New Roman"/>
          <w:sz w:val="17"/>
          <w:szCs w:val="17"/>
          <w:u w:val="single" w:color="auto"/>
          <w:color w:val="auto"/>
        </w:rPr>
        <w:t>Interim Financial Statements</w:t>
      </w:r>
      <w:r>
        <w:rPr>
          <w:rFonts w:ascii="Times New Roman" w:cs="Times New Roman" w:eastAsia="Times New Roman" w:hAnsi="Times New Roman"/>
          <w:sz w:val="17"/>
          <w:szCs w:val="17"/>
          <w:color w:val="auto"/>
        </w:rPr>
        <w:t xml:space="preserve">”) and (c) each financial statement delivered pursuant to </w:t>
      </w:r>
      <w:r>
        <w:rPr>
          <w:rFonts w:ascii="Times New Roman" w:cs="Times New Roman" w:eastAsia="Times New Roman" w:hAnsi="Times New Roman"/>
          <w:sz w:val="17"/>
          <w:szCs w:val="17"/>
          <w:u w:val="single" w:color="auto"/>
          <w:color w:val="auto"/>
        </w:rPr>
        <w:t>Section 5.02(a)(i) and 5.02(a)(ii)</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Amendment</w:t>
      </w:r>
      <w:r>
        <w:rPr>
          <w:rFonts w:ascii="Times New Roman" w:cs="Times New Roman" w:eastAsia="Times New Roman" w:hAnsi="Times New Roman"/>
          <w:sz w:val="18"/>
          <w:szCs w:val="18"/>
          <w:color w:val="auto"/>
        </w:rPr>
        <w:t>” means that certain Limited Consent and Amendment to Revenue Interest Purchase Agreement, dated as of December 10, 2024, by and among the Company, the Purchasers and the Purchaser Agent.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Payment</w:t>
      </w:r>
      <w:r>
        <w:rPr>
          <w:rFonts w:ascii="Times New Roman" w:cs="Times New Roman" w:eastAsia="Times New Roman" w:hAnsi="Times New Roman"/>
          <w:sz w:val="18"/>
          <w:szCs w:val="18"/>
          <w:color w:val="auto"/>
        </w:rPr>
        <w:t xml:space="preserve">” means $200,000,000, which shall be paid by the Purchasers on the Closing Date in accordance with </w:t>
      </w:r>
      <w:r>
        <w:rPr>
          <w:rFonts w:ascii="Times New Roman" w:cs="Times New Roman" w:eastAsia="Times New Roman" w:hAnsi="Times New Roman"/>
          <w:sz w:val="18"/>
          <w:szCs w:val="18"/>
          <w:u w:val="single" w:color="auto"/>
          <w:color w:val="auto"/>
        </w:rPr>
        <w:t>Section 2.03(a)(i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Guarantor</w:t>
      </w:r>
      <w:r>
        <w:rPr>
          <w:rFonts w:ascii="Times New Roman" w:cs="Times New Roman" w:eastAsia="Times New Roman" w:hAnsi="Times New Roman"/>
          <w:sz w:val="18"/>
          <w:szCs w:val="18"/>
          <w:color w:val="auto"/>
        </w:rPr>
        <w:t>” means any Subsidiary Guarantor that is a Foreign Subsidiary.</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440" w:top="270" w:right="519" w:bottom="1440" w:gutter="0" w:footer="0" w:header="0"/>
        </w:sectPr>
      </w:pPr>
    </w:p>
    <w:bookmarkStart w:id="28" w:name="page29"/>
    <w:bookmarkEnd w:id="28"/>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Foreign Plan</w:t>
      </w:r>
      <w:r>
        <w:rPr>
          <w:rFonts w:ascii="Times New Roman" w:cs="Times New Roman" w:eastAsia="Times New Roman" w:hAnsi="Times New Roman"/>
          <w:sz w:val="18"/>
          <w:szCs w:val="18"/>
          <w:color w:val="auto"/>
        </w:rPr>
        <w:t>” means any employee benefit plan, program, policy, arrangement or agreement maintained, sponsored or contributed to, or for which there is an obligation to contribute to, by any Obligor or any ERISA Affiliate that is subject to any requirements of Applicable Law other than, or in addition to, the laws of the United States or any state thereof or the laws of the District of Columbia.</w:t>
      </w:r>
    </w:p>
    <w:p>
      <w:pPr>
        <w:spacing w:after="0" w:line="176"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Plan Event</w:t>
      </w:r>
      <w:r>
        <w:rPr>
          <w:rFonts w:ascii="Times New Roman" w:cs="Times New Roman" w:eastAsia="Times New Roman" w:hAnsi="Times New Roman"/>
          <w:sz w:val="18"/>
          <w:szCs w:val="18"/>
          <w:color w:val="auto"/>
        </w:rPr>
        <w:t>” means, with respect to any Foreign Plan, (a) the existence of unfunded liabilities in excess of the amount permitted under any requirements of Applicable Law, or in excess of the amount that would be permitted absent a waiver from a Governmental Authority, (b) the failure to make any required contribution or payment under any requirements of Applicable Law within the time permitted by any requirement of Applicable Law for such contributions or payments, (c) the receipt of a notice from a Governmental Authority relating to the intention to terminate any such Foreign Plan or to appoint a trustee or similar official to administer any such Foreign Plan, or alleging the insolvency of any such Foreign Plan.</w:t>
      </w:r>
    </w:p>
    <w:p>
      <w:pPr>
        <w:spacing w:after="0" w:line="183"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any Subsidiary that is that is not an entity organized under the laws of the United States or any state or territory thereof.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Full Guarantor</w:t>
      </w:r>
      <w:r>
        <w:rPr>
          <w:rFonts w:ascii="Times New Roman" w:cs="Times New Roman" w:eastAsia="Times New Roman" w:hAnsi="Times New Roman"/>
          <w:sz w:val="18"/>
          <w:szCs w:val="18"/>
          <w:color w:val="auto"/>
        </w:rPr>
        <w:t>” means any Subsidiary Guarantor that is not a Limited Guarantor.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Election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in effect from time to time. Notwithstanding anything in this Agreement to the contrary, for all purposes hereunder, any obligations of a Person in respect of leases that would have been treated as operating leases prior to the implementation of Accounting Standards Codification 842 (regardless of whether or not then in effect) shall be treated as operating leases for purposes of all financial definitions, calculations and covenants, without giving effect to Accounting Standards Codification 842 requiring operating lease obligations to be capitalized, except that financial statements delivered pursuant to Section 5.01 may be prepared in accordance with GAAP (including giving effect to Accounting Standards Codification 842 as in effect at the time of such delivery).</w:t>
      </w:r>
    </w:p>
    <w:p>
      <w:pPr>
        <w:spacing w:after="0" w:line="187"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Globally Systemically Important Bank</w:t>
      </w:r>
      <w:r>
        <w:rPr>
          <w:rFonts w:ascii="Times New Roman" w:cs="Times New Roman" w:eastAsia="Times New Roman" w:hAnsi="Times New Roman"/>
          <w:sz w:val="18"/>
          <w:szCs w:val="18"/>
          <w:color w:val="auto"/>
        </w:rPr>
        <w:t>” means a banking institution designated as a “Globally Systemically Important Bank” or “G-SIB” by the Financial Stability Board and their Affiliates and branch offices.</w:t>
      </w:r>
    </w:p>
    <w:p>
      <w:pPr>
        <w:spacing w:after="0" w:line="162"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government, court, regulatory or administrative agency or commission, or other governmental authority, agency or instrumentality, whether foreign, federal, state, local or supranational (domestic or foreign), including each Patent Office, the FDA or the United States National Institutes of Health.</w:t>
      </w:r>
    </w:p>
    <w:p>
      <w:pPr>
        <w:spacing w:after="0" w:line="68" w:lineRule="exact"/>
        <w:rPr>
          <w:sz w:val="20"/>
          <w:szCs w:val="20"/>
          <w:color w:val="auto"/>
        </w:rPr>
      </w:pPr>
    </w:p>
    <w:p>
      <w:pPr>
        <w:ind w:right="14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of or by any Person (the “guarantor”) means any obligation, contingent or otherwise, of the guarantor guaranteeing or having the economic effect of guaranteeing any Indebtedness or other obligation of any other Person (the “primary obligor”)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provided that the term Guarantee shall not include endorsements for collection or deposit in the ordinary course of business. The amount of any Guarantee shall be deemed to be an amount equal to the stated or determinable amount of the Indebtedness in respect of which such Guarantee is made or, if not stated or determinable, the maximum reasonably anticipated liability in respect thereof as determined by such Person in good faith.</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440" w:top="270" w:right="519" w:bottom="1440" w:gutter="0" w:footer="0" w:header="0"/>
        </w:sectPr>
      </w:pPr>
    </w:p>
    <w:bookmarkStart w:id="29" w:name="page30"/>
    <w:bookmarkEnd w:id="29"/>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xml:space="preserve">” means a guaranty agreement made by each Subsidiary Guarantor in favor of Purchaser Agent and the Purchasers substantially in the form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w:t>
      </w:r>
    </w:p>
    <w:p>
      <w:pPr>
        <w:spacing w:after="0" w:line="16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Immaterial Subsidiary</w:t>
      </w:r>
      <w:r>
        <w:rPr>
          <w:rFonts w:ascii="Times New Roman" w:cs="Times New Roman" w:eastAsia="Times New Roman" w:hAnsi="Times New Roman"/>
          <w:sz w:val="18"/>
          <w:szCs w:val="18"/>
          <w:color w:val="auto"/>
        </w:rPr>
        <w:t xml:space="preserve">” means, as of any date, any Subsidiary of the Company for which (a) the consolidated total assets (determined in accordance with GAAP) of such Subsidiary and its Subsidiaries constitute less than 1.0% of consolidated total assets (determined in accordance with GAAP) of the Company and its Subsidiaries and (b) the consolidated revenues (determined in accordance with GAAP) of such Subsidiary and its Subsidiaries constitute less than 1.0% of the consolidated revenues (determined in accordance with GAAP) of the Company and its Subsidiaries, in each case, as of the last day of and for the most recently ended four fiscal quarter period for which financial statements have been delivered pursuant to </w:t>
      </w:r>
      <w:r>
        <w:rPr>
          <w:rFonts w:ascii="Times New Roman" w:cs="Times New Roman" w:eastAsia="Times New Roman" w:hAnsi="Times New Roman"/>
          <w:sz w:val="18"/>
          <w:szCs w:val="18"/>
          <w:u w:val="single" w:color="auto"/>
          <w:color w:val="auto"/>
        </w:rPr>
        <w:t>Section 5.02(a)</w:t>
      </w:r>
      <w:r>
        <w:rPr>
          <w:rFonts w:ascii="Times New Roman" w:cs="Times New Roman" w:eastAsia="Times New Roman" w:hAnsi="Times New Roman"/>
          <w:sz w:val="18"/>
          <w:szCs w:val="18"/>
          <w:color w:val="auto"/>
        </w:rPr>
        <w:t xml:space="preserve"> (and for the avoidance of doubt, each excluding intercompany payables);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if the consolidated revenues or consolidated assets of all Subsidiaries that would otherwise be an Immaterial Subsidiary pursuant to clauses (a) and (b) above equals or exceeds 2.0% of the consolidated revenues or consolidated assets, as applicable, of the Company and its Subsidiaries as of the last day of the most recent fiscal quarter for which financial statements of the Company were delivered or required to be delivered, then the Company shall designate in writing to the Purchaser Agent one or more of such Subsidiaries that would otherwise be Immaterial Subsidiaries to be excluded as Immaterial Subsidiaries until such 2.0% threshold is met. Notwithstanding the foregoing, until such time as which VivaBioCell, S.p.A. and its Subsidiaries’ consolidated total revenue exceeds $10,000,000 on a trailing four fiscal quarter basis or consolidated total assets exceeds $15,000,000 as of the last day of a fiscal quarter period, VivaBioCell, S.p.A. shall be considered an Immaterial Subsidiary.</w:t>
      </w:r>
    </w:p>
    <w:p>
      <w:pPr>
        <w:spacing w:after="0" w:line="187" w:lineRule="exact"/>
        <w:rPr>
          <w:sz w:val="20"/>
          <w:szCs w:val="20"/>
          <w:color w:val="auto"/>
        </w:rPr>
      </w:pPr>
    </w:p>
    <w:p>
      <w:pPr>
        <w:ind w:right="200" w:firstLine="44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Immediate Family Member</w:t>
      </w:r>
      <w:r>
        <w:rPr>
          <w:rFonts w:ascii="Times New Roman" w:cs="Times New Roman" w:eastAsia="Times New Roman" w:hAnsi="Times New Roman"/>
          <w:sz w:val="17"/>
          <w:szCs w:val="17"/>
          <w:color w:val="auto"/>
        </w:rPr>
        <w:t>” means with respect to any individual, such individual’s child, stepchild, grandchild or more remote descendant, parent, stepparent, grandparent, spouse, former spouse, domestic partner, former domestic partner, sibling, mother-in-law, father-in-law, son-in-law or daughter-in-law (including adoptive relationships), any trust, partnership or other bona fide estate-planning vehicle the only beneficiaries of which are any of the foregoing individuals, such individual’s estate (or an executor, administrator, heir or legatee, in each case, acting on their behalf) or any private foundation or fund that is controlled by any of the foregoing individuals or any donor-advised fund of which any such individual is the donor.</w:t>
      </w:r>
    </w:p>
    <w:p>
      <w:pPr>
        <w:spacing w:after="0" w:line="60" w:lineRule="exact"/>
        <w:rPr>
          <w:sz w:val="20"/>
          <w:szCs w:val="20"/>
          <w:color w:val="auto"/>
        </w:rPr>
      </w:pPr>
    </w:p>
    <w:p>
      <w:pPr>
        <w:ind w:right="58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Included Product</w:t>
      </w:r>
      <w:r>
        <w:rPr>
          <w:rFonts w:ascii="Times New Roman" w:cs="Times New Roman" w:eastAsia="Times New Roman" w:hAnsi="Times New Roman"/>
          <w:sz w:val="17"/>
          <w:szCs w:val="17"/>
          <w:color w:val="auto"/>
        </w:rPr>
        <w:t>” means (a) Anktiva, (b) all other compounds, chemical entities, biologic or pharmaceutical products being designed, Developed, owned, licensed, acquired, Manufactured or Commercialized by the Company or any of its Subsidiaries from time to time, or (c) any derivative, improvement, enhancement, modification, combination or subsequent iteration of any of the foregoing described in clause (a) or (b).</w:t>
      </w:r>
    </w:p>
    <w:p>
      <w:pPr>
        <w:spacing w:after="0" w:line="158"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 respect to any Person: (a) any liability or obligation of such Person (i) for borrowed money, (ii) evidenced by a bond, note, debenture, or similar instrument, (iii) in respect of the deferred purchase price of property or services, including a purchase money obligation given in connection with the acquisition of any businesses, properties or assets of any kind, (iv) under conditional sale or other title retention agreements relating to property acquired by such Person, (v) [reserved], (vi) contingent or otherwise, in respect of bankers’ acceptances, letters of credit or similar extensions of credit, (vii) in respect of hedging agreements and other derivative contracts (for the net amount owed by such Person thereunder), (viii) for the payment of money relating to any obligations under any capital lease of real or personal property which are required to be recorded as a capitalized lease obligation in accordance with GAAP, (ix) under guaranteed minimum purchase, take or pay or similar performance requirement contracts required to be listed as a liability on a balance sheet of such Person in accordance with GAAP, (x) [reserved], (xi) under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30" w:name="page31"/>
    <w:bookmarkEnd w:id="30"/>
    <w:p>
      <w:pPr>
        <w:ind w:left="4" w:right="8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receivables factoring, receivable sales or similar transactions or under synthetic lease, tax ownership/operating lease, off balance sheet financing or similar financing, (xii) for contingent milestone payments, royalty payments, upfront payments, license payments and similar payments pursuant to any License Agreement or other license agreement, research and development agreement, collaboration or development agreement, in each case, which payments are contingent and not yet fixed or determinable or (xiii) arising under revenue interest agreements, royalty financing agreements or similar financings; (b) all Disqualified Equity Interests of such Person; (c) any Guarantee by such Person of Indebtedness of any other Person; and (d) (without duplication) any amendment, supplement, modification, deferral, renewal, extension or refunding of any liability of the types referred to in clauses (a),</w:t>
      </w:r>
    </w:p>
    <w:p>
      <w:pPr>
        <w:spacing w:after="0" w:line="5" w:lineRule="exact"/>
        <w:rPr>
          <w:sz w:val="20"/>
          <w:szCs w:val="20"/>
          <w:color w:val="auto"/>
        </w:rPr>
      </w:pPr>
    </w:p>
    <w:p>
      <w:pPr>
        <w:ind w:left="4" w:hanging="4"/>
        <w:spacing w:after="0" w:line="250" w:lineRule="auto"/>
        <w:tabs>
          <w:tab w:leader="none" w:pos="25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(c) above. “Indebtedness” of any Person shall include (A) all Indebtedness referred to in clauses (a) through (d) above secured by (or for which the holder of such Indebtedness has an existing right, contingent or otherwise, to be secured by) any Lien on property (including, without limitation, accounts and contract rights) owned by such Person, even though such Person has not assumed or become liable for the payment of such Indebtedness;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amount of the Indebtedness of any such Person for purposes of this clause (A) shall be deemed to be equal to the lesser of (x) the aggregate unpaid amount of such Indebtedness and (y) the fair market value of the property encumbered thereby as determined by such Person in good faith and (B)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“Indebtedness” of any Person shall not include (i) prepaid or deferred revenue arising in the ordinary course of business, (ii) current trade payables and current liabilities arising in the ordinary course of business and outstanding for not more than 120 days after the date such payable or liabilities first became due and owing, (iii) purchase price holdbacks, amounts in respect of purchase price adjustments, escrowed purchase price amounts, and similar arrangements, customary indemnification and/or reimbursement obligations, and/or other deferred payment amounts (including contingent obligations such as earn-outs and amounts described in clause (xii) of the definition of Indebtedness), in each case, to the extent included in Acquisition Cost and incurred in connection with a Permitted Acquisition, unless such obligations have not been paid within fifteen (15) Business Days following the date on which such amounts first became due and payable, (iv) Qualified Equity Interests,</w:t>
      </w:r>
    </w:p>
    <w:p>
      <w:pPr>
        <w:spacing w:after="0" w:line="5" w:lineRule="exact"/>
        <w:rPr>
          <w:rFonts w:ascii="Times New Roman" w:cs="Times New Roman" w:eastAsia="Times New Roman" w:hAnsi="Times New Roman"/>
          <w:sz w:val="18"/>
          <w:szCs w:val="18"/>
          <w:color w:val="auto"/>
        </w:rPr>
      </w:pPr>
    </w:p>
    <w:p>
      <w:pPr>
        <w:ind w:left="4" w:hanging="4"/>
        <w:spacing w:after="0" w:line="252" w:lineRule="auto"/>
        <w:tabs>
          <w:tab w:leader="none" w:pos="25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liabilities consisting of allocated overhead and expenses (other than intercompany Indebtedness and Investments) that would be eliminated on the consolidated balance sheet of the Company and its consolidated Subsidiaries, (vi) any obligations in respect of workers’ compensation claims, early retirement or termination obligations (unless in respect of Disqualified Equity Interests, in which case such items shall constitute Indebtedness), deferred compensatory or employee or director equity plans (unless in respect of Disqualified Equity Interests, in which case such items shall constitute Indebtedness), pension fund obligations or contributions or similar claims, obligations or contributions or social security or wage taxes, and (vii) obligations of the Company in respect of Permitted Bond Hedging Agreements.</w:t>
      </w:r>
    </w:p>
    <w:p>
      <w:pPr>
        <w:spacing w:after="0" w:line="82"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means, collectively, all Excluded Liabilities and any and all liabilities, obligations, losses, assessments, awards, causes of action, damages, penalties, claims, charges, fines, judgments, costs, expenses and disbursements of any kind or nature whatsoever (including reasonable expenses of investigation and the reasonable and documented fees and disbursements of counsel for Indemnified Parties), whether direct, indirect or consequential, whether based on any federal, state or foreign laws, statutes, rules or regulations (including securities and commercial laws, statutes, rules or regulations), on common law or equitable cause or on contract or otherwise, imposed on, incurred by, or asserted against any such Indemnified Party, in any manner relating to or arising out of this Agreement or the other Transaction Documents or the transactions contemplated hereby or thereby (including any enforcement of any of the Transaction Documents (including any sale of, collection from, or other realization upon any of the Collateral)).</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8.04(a)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4"/>
          </w:cols>
          <w:pgMar w:left="436" w:top="270" w:right="479" w:bottom="1440" w:gutter="0" w:footer="0" w:header="0"/>
        </w:sectPr>
      </w:pPr>
    </w:p>
    <w:bookmarkStart w:id="31" w:name="page32"/>
    <w:bookmarkEnd w:id="31"/>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In-License</w:t>
      </w:r>
      <w:r>
        <w:rPr>
          <w:rFonts w:ascii="Times New Roman" w:cs="Times New Roman" w:eastAsia="Times New Roman" w:hAnsi="Times New Roman"/>
          <w:sz w:val="18"/>
          <w:szCs w:val="18"/>
          <w:color w:val="auto"/>
        </w:rPr>
        <w:t>” means any license or other agreement between the Company or any Affiliate and any Third Party pursuant to which the Company or a Subsidiary obtains a license or sublicense of, covenant not to sue under, or other similar rights to, any Intellectual Property of such Third Party (other than (i) off-the-shelf software licenses, (ii) shrink-wrap or click-wrap licenses, and (iii) non-exclusive licenses of Intellectual Property that does not constitute Product Intellectual Property).</w:t>
      </w:r>
    </w:p>
    <w:p>
      <w:pPr>
        <w:spacing w:after="0" w:line="180" w:lineRule="exact"/>
        <w:rPr>
          <w:sz w:val="20"/>
          <w:szCs w:val="20"/>
          <w:color w:val="auto"/>
        </w:rPr>
      </w:pPr>
    </w:p>
    <w:p>
      <w:pPr>
        <w:ind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 means all intellectual property and other proprietary rights of any kind or nature, whether registered or unregistered and whether registrable or not, protected, created or arising under any law, including any and all rights in: proprietary information; technical data; laboratory notebooks; clinical data; priority rights; trade secrets; know-how; confidential information; inventions (whether patentable or unpatentable and whether or not reduced to practice or claimed in a pending patent application); Patents; registered or unregistered trademarks, trade names, service marks, trade dress, logos, slogans, including all goodwill associated therewith; domain names; registered and unregistered copyrights and all applications thereof and all rights in works of authorship of any type, in all forms or media, designs rights, registered designs, database rights and rights in compilations of data.</w:t>
      </w:r>
    </w:p>
    <w:p>
      <w:pPr>
        <w:spacing w:after="0" w:line="173"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Updates</w:t>
      </w:r>
      <w:r>
        <w:rPr>
          <w:rFonts w:ascii="Times New Roman" w:cs="Times New Roman" w:eastAsia="Times New Roman" w:hAnsi="Times New Roman"/>
          <w:sz w:val="18"/>
          <w:szCs w:val="18"/>
          <w:color w:val="auto"/>
        </w:rPr>
        <w:t>” means a summary of any new Patents, trademarks or copyrights issued or patent, trademark or copyright applications filed, amended or supplemented, constituting Product Intellectual Property (in form sufficient to allow Purchaser Agent to prepare appropriate filings in respect thereof to protect its Liens thereon), together with any material information or developments with respect to the Material Patents.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Financial Statements</w:t>
      </w:r>
      <w:r>
        <w:rPr>
          <w:rFonts w:ascii="Times New Roman" w:cs="Times New Roman" w:eastAsia="Times New Roman" w:hAnsi="Times New Roman"/>
          <w:sz w:val="18"/>
          <w:szCs w:val="18"/>
          <w:color w:val="auto"/>
        </w:rPr>
        <w:t>” has the meaning set forth in the definition of “Financial Statements.”</w:t>
      </w:r>
    </w:p>
    <w:p>
      <w:pPr>
        <w:spacing w:after="0" w:line="225"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means (a) any beneficial ownership interest in any Person (including Equity Interests or other securities), (b) any loan, advance, extension of credit, capital contribution or similar payment to, or Guarantee of the obligations of, any Person, (c) any Acquisition, and (d) any investment in any other items that are or would be classified as investments on a balance sheet of such Person prepared in accordance with GAAP. The amount of any Investment shall be the amount actually invested (or in the case of an Acquisition, the Acquisition Cost thereof) plus the cost of all additions thereto, less any return of capital thereon, without any adjustments for increases or decreases in value, or write-ups, write-downs or write-offs with respect to such Investment.</w:t>
      </w:r>
    </w:p>
    <w:p>
      <w:pPr>
        <w:spacing w:after="0" w:line="79"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means (a) Patrick Soon-Shiong and (b) Cambridge Equities, LP, in each case, together with their Affiliates and funds, investments, Persons, vehicles or accounts that are managed, sponsored, or advised by it or its Affiliates.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 or any successor federal agency thereto.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means the actual knowledge, after reasonable inquiry of a Person.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the Obligors</w:t>
      </w:r>
      <w:r>
        <w:rPr>
          <w:rFonts w:ascii="Times New Roman" w:cs="Times New Roman" w:eastAsia="Times New Roman" w:hAnsi="Times New Roman"/>
          <w:sz w:val="18"/>
          <w:szCs w:val="18"/>
          <w:color w:val="auto"/>
        </w:rPr>
        <w:t>” means the Knowledge of any Knowledge Person.</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Person</w:t>
      </w:r>
      <w:r>
        <w:rPr>
          <w:rFonts w:ascii="Times New Roman" w:cs="Times New Roman" w:eastAsia="Times New Roman" w:hAnsi="Times New Roman"/>
          <w:sz w:val="18"/>
          <w:szCs w:val="18"/>
          <w:color w:val="auto"/>
        </w:rPr>
        <w:t xml:space="preserve">” means any of the persons listed on </w:t>
      </w:r>
      <w:r>
        <w:rPr>
          <w:rFonts w:ascii="Times New Roman" w:cs="Times New Roman" w:eastAsia="Times New Roman" w:hAnsi="Times New Roman"/>
          <w:sz w:val="18"/>
          <w:szCs w:val="18"/>
          <w:u w:val="single" w:color="auto"/>
          <w:color w:val="auto"/>
        </w:rPr>
        <w:t>Schedule 1.01(a)</w:t>
      </w:r>
      <w:r>
        <w:rPr>
          <w:rFonts w:ascii="Times New Roman" w:cs="Times New Roman" w:eastAsia="Times New Roman" w:hAnsi="Times New Roman"/>
          <w:sz w:val="18"/>
          <w:szCs w:val="18"/>
          <w:color w:val="auto"/>
        </w:rPr>
        <w:t xml:space="preserve"> to the Disclosure Letter, and any individual who succeeds such person in the role identified on </w:t>
      </w:r>
      <w:r>
        <w:rPr>
          <w:rFonts w:ascii="Times New Roman" w:cs="Times New Roman" w:eastAsia="Times New Roman" w:hAnsi="Times New Roman"/>
          <w:sz w:val="18"/>
          <w:szCs w:val="18"/>
          <w:u w:val="single" w:color="auto"/>
          <w:color w:val="auto"/>
        </w:rPr>
        <w:t>Schedule 1.01(a)</w:t>
      </w:r>
      <w:r>
        <w:rPr>
          <w:rFonts w:ascii="Times New Roman" w:cs="Times New Roman" w:eastAsia="Times New Roman" w:hAnsi="Times New Roman"/>
          <w:sz w:val="18"/>
          <w:szCs w:val="18"/>
          <w:color w:val="auto"/>
        </w:rPr>
        <w:t xml:space="preserve"> to the Disclosure Letter.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 Agreement</w:t>
      </w:r>
      <w:r>
        <w:rPr>
          <w:rFonts w:ascii="Times New Roman" w:cs="Times New Roman" w:eastAsia="Times New Roman" w:hAnsi="Times New Roman"/>
          <w:sz w:val="18"/>
          <w:szCs w:val="18"/>
          <w:color w:val="auto"/>
        </w:rPr>
        <w:t>” means all Out-Licenses and all In-Licenses.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0"/>
          </w:cols>
          <w:pgMar w:left="440" w:top="270" w:right="499" w:bottom="1440" w:gutter="0" w:footer="0" w:header="0"/>
        </w:sectPr>
      </w:pPr>
    </w:p>
    <w:bookmarkStart w:id="32" w:name="page33"/>
    <w:bookmarkEnd w:id="32"/>
    <w:p>
      <w:pPr>
        <w:ind w:right="4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Licensees</w:t>
      </w:r>
      <w:r>
        <w:rPr>
          <w:rFonts w:ascii="Times New Roman" w:cs="Times New Roman" w:eastAsia="Times New Roman" w:hAnsi="Times New Roman"/>
          <w:sz w:val="18"/>
          <w:szCs w:val="18"/>
          <w:color w:val="auto"/>
        </w:rPr>
        <w:t>” means, collectively, Third Parties to which the Company or any Subsidiary grants or has granted the right to Commercialize any Included Product, including, without limitation, any licensees and sublicensees under any Out-License related to an Included Product; each a “</w:t>
      </w:r>
      <w:r>
        <w:rPr>
          <w:rFonts w:ascii="Times New Roman" w:cs="Times New Roman" w:eastAsia="Times New Roman" w:hAnsi="Times New Roman"/>
          <w:sz w:val="18"/>
          <w:szCs w:val="18"/>
          <w:u w:val="single" w:color="auto"/>
          <w:color w:val="auto"/>
        </w:rPr>
        <w:t>Licensee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all liens, encumbrances, deeds of trust, hypothecations, pledges, charges, security interests, mortgages or other encumbrances of any kind.</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Guarantor</w:t>
      </w:r>
      <w:r>
        <w:rPr>
          <w:rFonts w:ascii="Times New Roman" w:cs="Times New Roman" w:eastAsia="Times New Roman" w:hAnsi="Times New Roman"/>
          <w:sz w:val="18"/>
          <w:szCs w:val="18"/>
          <w:color w:val="auto"/>
        </w:rPr>
        <w:t>” means any Subsidiary Guarantor whose Guaranty, or the grant or perfection of a security interest in whose assets, are limited by Corporate Benefit Limitations.</w:t>
      </w:r>
    </w:p>
    <w:p>
      <w:pPr>
        <w:spacing w:after="0" w:line="16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Manufacture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Manufacturing</w:t>
      </w:r>
      <w:r>
        <w:rPr>
          <w:rFonts w:ascii="Times New Roman" w:cs="Times New Roman" w:eastAsia="Times New Roman" w:hAnsi="Times New Roman"/>
          <w:sz w:val="18"/>
          <w:szCs w:val="18"/>
          <w:color w:val="auto"/>
        </w:rPr>
        <w:t>” means all activities related to the production, manufacture, processing, filling, finishing, packaging, labeling, shipping, supply, and holding of any Included Product, or any intermediate thereof, including process development, process qualification and validation, scale-up, pre-clinical, clinical and commercial manufacture and analytic development, tissue engineering, product characterization, stability testing, quality assurance, and quality control.</w:t>
      </w:r>
    </w:p>
    <w:p>
      <w:pPr>
        <w:spacing w:after="0" w:line="180"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Marketing Authorization</w:t>
      </w:r>
      <w:r>
        <w:rPr>
          <w:rFonts w:ascii="Times New Roman" w:cs="Times New Roman" w:eastAsia="Times New Roman" w:hAnsi="Times New Roman"/>
          <w:sz w:val="18"/>
          <w:szCs w:val="18"/>
          <w:color w:val="auto"/>
        </w:rPr>
        <w:t>” means, with respect to an Included Product, the Regulatory Approval required by Applicable Law to market or sell such Included Product in a country or region, including, to the extent required by Applicable Law for the sale of such Included Product, all pricing approvals and government reimbursement approvals.</w:t>
      </w:r>
    </w:p>
    <w:p>
      <w:pPr>
        <w:spacing w:after="0" w:line="176"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a material adverse change in the business, operations, assets, prospects or condition (financial or otherwise) of the Company and its Subsidiaries, taken as a whole, (b) an adverse effect in any material respect on the validity or enforceability of any of the Transaction Documents, (c) a material adverse effect on the ability of any Obligor to perform any of its material obligations under the Transaction Documents, (d) an adverse effect in any material respect on the rights or remedies of the Purchaser Agent or any Purchaser under any of the Transaction Documents, (e) a material adverse effect on the Included Products, taken as a whole, or on Anktiva, on the Product Intellectual Property, taken as a whole, or on the ability of any Obligor or a Person acting on behalf of such Obligor to Develop, Commercialize or Manufacture the Included Products, taken as a whole or to Develop, Commercialize or Manufacture Anktiva, (f) a Put Option Event, (g) an adverse effect in any material respect on the timing, amount or duration of the Revenue Interest Payments or (h) an adverse effect in any material respect on the validity, perfection (except to the extent permitted under the Security Agreement) or first priority (subject to Permitted Priority Liens) of Liens in favor of the Purchaser Agent for the benefit of the Secured Parties (except to the extent resulting solely from any actions or inactions on the part of the Secured Parties despite timely receipt of information regarding the Company and its Subsidiaries as required by this Agreement).</w:t>
      </w:r>
    </w:p>
    <w:p>
      <w:pPr>
        <w:spacing w:after="0" w:line="19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w:t>
      </w:r>
      <w:r>
        <w:rPr>
          <w:rFonts w:ascii="Times New Roman" w:cs="Times New Roman" w:eastAsia="Times New Roman" w:hAnsi="Times New Roman"/>
          <w:sz w:val="18"/>
          <w:szCs w:val="18"/>
          <w:color w:val="auto"/>
        </w:rPr>
        <w:t>” means (a) any “material contract” (as such term is defined in Item 601(b)(10) of Regulation S-K of the Securities Act, other than those agreements and arrangements described in Item 601(b)(10)(iii) and other than the Dunkirk Lease and the Beike License Agreement) with respect to the Company or its Subsidiaries; (b) any development agreement, collaboration agreement, marketing agreement, co-promotion agreement, license agreement, option agreement, supply agreement, distribution agreement, partnering agreement or similar agreement with respect to Anktiva (but excluding (i) non-exclusive research licenses for the use of Anktiva in the ordinary course of business in each case granting no rights to sell, offer to sell, or otherwise Commercialize Anktiva and (ii) the Beike License Agreement); (c) any material agreement with respect to the Company or any of its Subsidiaries relating to any Material Patent, including any license, option, assignment, or agreement related to control of such Material Patent (but excluding the Beike License Agreement); or (d) any agreement (other than the Dunkirk Lease and the Beike License Agreement) with consideration or other payments in excess of (i) prior to the Milestone, $2,500,000 per fiscal year and (ii) from and after the occurrence of the Milestone, $10,000,000 per fiscal year or agreement evidencing any Indebtedness in an amount exceeding $2,500,000.</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33" w:name="page34"/>
    <w:bookmarkEnd w:id="3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Material Patents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3.12(c)</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means the twelfth (12th) anniversary of the Closing Date.</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w:t>
      </w:r>
      <w:r>
        <w:rPr>
          <w:rFonts w:ascii="Times New Roman" w:cs="Times New Roman" w:eastAsia="Times New Roman" w:hAnsi="Times New Roman"/>
          <w:sz w:val="18"/>
          <w:szCs w:val="18"/>
          <w:color w:val="auto"/>
        </w:rPr>
        <w:t xml:space="preserve">” means the first date on which (i) twelve-month trailing Net Sales from Anktiva for treatment of bladder cancer in the Covered Territory are greater than or equal to the Cumulative Purchaser Payments and (ii) the Company delivers written notice to the Purchaser Agent, including calculations in reasonable detail (based on figures contained in the audited or unaudited financial statements most recently delivered to the Purchaser Agent pursuant to </w:t>
      </w:r>
      <w:r>
        <w:rPr>
          <w:rFonts w:ascii="Times New Roman" w:cs="Times New Roman" w:eastAsia="Times New Roman" w:hAnsi="Times New Roman"/>
          <w:sz w:val="18"/>
          <w:szCs w:val="18"/>
          <w:u w:val="single" w:color="auto"/>
          <w:color w:val="auto"/>
        </w:rPr>
        <w:t>Section 5.02(a)</w:t>
      </w:r>
      <w:r>
        <w:rPr>
          <w:rFonts w:ascii="Times New Roman" w:cs="Times New Roman" w:eastAsia="Times New Roman" w:hAnsi="Times New Roman"/>
          <w:sz w:val="18"/>
          <w:szCs w:val="18"/>
          <w:color w:val="auto"/>
        </w:rPr>
        <w:t>), establishing the foregoing.</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MNPI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MNPI Notice Period</w:t>
      </w:r>
      <w:r>
        <w:rPr>
          <w:rFonts w:ascii="Times New Roman" w:cs="Times New Roman" w:eastAsia="Times New Roman" w:hAnsi="Times New Roman"/>
          <w:sz w:val="18"/>
          <w:szCs w:val="18"/>
          <w:color w:val="auto"/>
        </w:rPr>
        <w:t>” means any period designated as such by Purchaser Agent by written notice to the Obligors. Each MNPI Notice Period will commence five Business Days following Purchaser Agent’s written notice to the Obligors of such MNPI Notice Period (or any later date specified by Purchaser Agent in such notice), and will end five Business Days following written notice from Purchaser Agent to the Obligors that such MNPI Notice Period is terminated.</w:t>
      </w:r>
    </w:p>
    <w:p>
      <w:pPr>
        <w:spacing w:after="0" w:line="180"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any employee benefit plan of the type described in Section 4001(a)(3) of ERISA, to which any Obligor or any ERISA Affiliate makes or is obligated to make contributions, during the preceding five plan years has made or been obligated to make contributions, or has any liability.</w:t>
      </w:r>
    </w:p>
    <w:p>
      <w:pPr>
        <w:spacing w:after="0" w:line="176"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Sales</w:t>
      </w:r>
      <w:r>
        <w:rPr>
          <w:rFonts w:ascii="Times New Roman" w:cs="Times New Roman" w:eastAsia="Times New Roman" w:hAnsi="Times New Roman"/>
          <w:sz w:val="18"/>
          <w:szCs w:val="18"/>
          <w:color w:val="auto"/>
        </w:rPr>
        <w:t xml:space="preserve">” means, for any relevant fiscal period, consolidated net revenue of the Company and its Subsidiaries properly recognized and reported under GAAP, as applicable, consistently applied, during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occurrence of a Test Date Shortfall, from and after the Test Date, “Net Sales” shall also include, for any relevant fiscal period, without duplication of amounts already included in consolidated net revenue for such fiscal period or any prior period, with respect to each Included Product, the aggregate gross invoiced sales prices from the sale or disposition of such Included Product by the Company, any Affiliate and any Licensee to Third Parties, less the following deductions without duplication, but solely to the extent included in the gross amount invoiced with respect to such sale or disposition of such Included Product and to the extent such deductions are in accordance with GAAP:</w:t>
      </w:r>
    </w:p>
    <w:p>
      <w:pPr>
        <w:spacing w:after="0" w:line="81" w:lineRule="exact"/>
        <w:rPr>
          <w:sz w:val="20"/>
          <w:szCs w:val="20"/>
          <w:color w:val="auto"/>
        </w:rPr>
      </w:pPr>
    </w:p>
    <w:p>
      <w:pPr>
        <w:ind w:left="680" w:hanging="244"/>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quantity and cash discounts, credits or allowances actually given;</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allowances for returns or rejections (due to spoilage, damage, expiration of useful life or otherwise);</w:t>
      </w:r>
    </w:p>
    <w:p>
      <w:pPr>
        <w:spacing w:after="0" w:line="117"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freight and insurance, if separately identified on the invoice;</w:t>
      </w:r>
    </w:p>
    <w:p>
      <w:pPr>
        <w:spacing w:after="0" w:line="117"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discounts or rebates imposed by any Governmental Authority against the Company, any Affiliate or any Licensee, as applicable, including any claw-backs or similar pharmaceutical taxes directly related to such Included Product and paid directly by the Company, such Affiliate or such Licensee, as applicable, or, in the case of claw-backs related to aggregate sales of the Company, such Affiliate or such Licensee, as applicable, such portion of the claw-back as shall be reasonably determined by the Company, such Affiliate or such Licensee, as applicable, based on the proportion between the share of Net Sales hereunder and aggregate sales of the Company, such Affiliate or such Licensee, as applicable;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34" w:name="page35"/>
    <w:bookmarkEnd w:id="34"/>
    <w:p>
      <w:pPr>
        <w:ind w:right="460" w:firstLine="436"/>
        <w:spacing w:after="0" w:line="282" w:lineRule="auto"/>
        <w:tabs>
          <w:tab w:leader="none" w:pos="6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Third Party rebates, chargebacks, hospital buying group/group purchasing organization administration fees or managed care organization rebates actually given;</w:t>
      </w:r>
    </w:p>
    <w:p>
      <w:pPr>
        <w:spacing w:after="0" w:line="53" w:lineRule="exact"/>
        <w:rPr>
          <w:rFonts w:ascii="Times New Roman" w:cs="Times New Roman" w:eastAsia="Times New Roman" w:hAnsi="Times New Roman"/>
          <w:sz w:val="18"/>
          <w:szCs w:val="18"/>
          <w:color w:val="auto"/>
        </w:rPr>
      </w:pPr>
    </w:p>
    <w:p>
      <w:pPr>
        <w:ind w:right="20" w:firstLine="436"/>
        <w:spacing w:after="0" w:line="282" w:lineRule="auto"/>
        <w:tabs>
          <w:tab w:leader="none" w:pos="6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rebates and similar payments made with respect to sales paid for by any Governmental Authority or Regulatory Agency such as federal or state Medicaid, Medicare or similar state program;</w:t>
      </w:r>
    </w:p>
    <w:p>
      <w:pPr>
        <w:spacing w:after="0" w:line="53" w:lineRule="exact"/>
        <w:rPr>
          <w:rFonts w:ascii="Times New Roman" w:cs="Times New Roman" w:eastAsia="Times New Roman" w:hAnsi="Times New Roman"/>
          <w:sz w:val="18"/>
          <w:szCs w:val="18"/>
          <w:color w:val="auto"/>
        </w:rPr>
      </w:pPr>
    </w:p>
    <w:p>
      <w:pPr>
        <w:ind w:right="580" w:firstLine="436"/>
        <w:spacing w:after="0" w:line="282" w:lineRule="auto"/>
        <w:tabs>
          <w:tab w:leader="none" w:pos="6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value-added tax, sales, use or turnover taxes, excise taxes and customs duties assessed by Governmental Authorities on the sale of such Included Product; and</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retroactive price reductions or billing corrections.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of calculating Net Sales pursuant to the proviso above:</w:t>
      </w:r>
    </w:p>
    <w:p>
      <w:pPr>
        <w:spacing w:after="0" w:line="117" w:lineRule="exact"/>
        <w:rPr>
          <w:sz w:val="20"/>
          <w:szCs w:val="20"/>
          <w:color w:val="auto"/>
        </w:rPr>
      </w:pPr>
    </w:p>
    <w:p>
      <w:pPr>
        <w:ind w:right="40" w:firstLine="436"/>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sale or other disposal for value, such as barter or counter-trade, of an Included Product, or part thereof, other than in an arm’s length transaction exclusively for cash, Net Sales shall be calculated as above on the value of the non-cash consideration received or the fair market price (if higher) of such Included Product in the country of sale or disposal, as determined in accordance with GAAP;</w:t>
      </w:r>
    </w:p>
    <w:p>
      <w:pPr>
        <w:spacing w:after="0" w:line="67" w:lineRule="exact"/>
        <w:rPr>
          <w:rFonts w:ascii="Times New Roman" w:cs="Times New Roman" w:eastAsia="Times New Roman" w:hAnsi="Times New Roman"/>
          <w:sz w:val="18"/>
          <w:szCs w:val="18"/>
          <w:color w:val="auto"/>
        </w:rPr>
      </w:pPr>
    </w:p>
    <w:p>
      <w:pPr>
        <w:ind w:right="120" w:firstLine="436"/>
        <w:spacing w:after="0" w:line="282" w:lineRule="auto"/>
        <w:tabs>
          <w:tab w:leader="none" w:pos="70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Included Products between the Company, any Affiliate and/or any Licensee for resale shall be excluded from the computation of Net Sales, provided that the subsequent resale of such Included Products to a Third Party are included in the computation of Net Sales;</w:t>
      </w:r>
    </w:p>
    <w:p>
      <w:pPr>
        <w:spacing w:after="0" w:line="53" w:lineRule="exact"/>
        <w:rPr>
          <w:rFonts w:ascii="Times New Roman" w:cs="Times New Roman" w:eastAsia="Times New Roman" w:hAnsi="Times New Roman"/>
          <w:sz w:val="18"/>
          <w:szCs w:val="18"/>
          <w:color w:val="auto"/>
        </w:rPr>
      </w:pPr>
    </w:p>
    <w:p>
      <w:pPr>
        <w:ind w:firstLine="436"/>
        <w:spacing w:after="0" w:line="282" w:lineRule="auto"/>
        <w:tabs>
          <w:tab w:leader="none" w:pos="7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disposal or use of Included Products, without consideration, for marketing, regulatory, development or charitable purposes, such as clinical trials, compassionate use, named patient use, or indigent patient programs shall not be deemed a sale hereunder; and</w:t>
      </w:r>
    </w:p>
    <w:p>
      <w:pPr>
        <w:spacing w:after="0" w:line="53" w:lineRule="exact"/>
        <w:rPr>
          <w:rFonts w:ascii="Times New Roman" w:cs="Times New Roman" w:eastAsia="Times New Roman" w:hAnsi="Times New Roman"/>
          <w:sz w:val="18"/>
          <w:szCs w:val="18"/>
          <w:color w:val="auto"/>
        </w:rPr>
      </w:pPr>
    </w:p>
    <w:p>
      <w:pPr>
        <w:ind w:right="400" w:firstLine="436"/>
        <w:spacing w:after="0" w:line="282" w:lineRule="auto"/>
        <w:tabs>
          <w:tab w:leader="none" w:pos="74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Net Sales for any period be less than worldwide net revenue for the Included Products for such period as reported in the Company’s financial statements.</w:t>
      </w:r>
    </w:p>
    <w:p>
      <w:pPr>
        <w:spacing w:after="0" w:line="54"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for purposes of determining consolidated net revenues, the proceeds of public or private grants and/or government financial assistance programs shall be excluded to the extent such grants and/or financial assistance and the inclusion thereof in Net Sales would, as demonstrated to Purchaser Agent in its reasonable satisfaction, violate or result in a Third Party’s right of termination under any agreement relating to such program.</w:t>
      </w:r>
    </w:p>
    <w:p>
      <w:pPr>
        <w:spacing w:after="0" w:line="180"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 Payment Milestone</w:t>
      </w:r>
      <w:r>
        <w:rPr>
          <w:rFonts w:ascii="Times New Roman" w:cs="Times New Roman" w:eastAsia="Times New Roman" w:hAnsi="Times New Roman"/>
          <w:sz w:val="18"/>
          <w:szCs w:val="18"/>
          <w:color w:val="auto"/>
        </w:rPr>
        <w:t>” means the first date on which (i) six-month trailing Net Sales from Anktiva for treatment of bladder cancer in the Covered Territory are greater than or equal to $150,000,000 and (ii) the Company delivers written notice to the Purchaser Agent, including calculations in reasonable detail (based on figures contained in the audited or unaudited financial statements most recently delivered to the Purchaser Agent pursuant to Section 5.02(a)), establishing the foregoing.</w:t>
      </w:r>
    </w:p>
    <w:p>
      <w:pPr>
        <w:spacing w:after="0" w:line="180" w:lineRule="exact"/>
        <w:rPr>
          <w:sz w:val="20"/>
          <w:szCs w:val="20"/>
          <w:color w:val="auto"/>
        </w:rPr>
      </w:pPr>
    </w:p>
    <w:p>
      <w:pPr>
        <w:ind w:right="120"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Obligations</w:t>
      </w:r>
      <w:r>
        <w:rPr>
          <w:rFonts w:ascii="Times New Roman" w:cs="Times New Roman" w:eastAsia="Times New Roman" w:hAnsi="Times New Roman"/>
          <w:sz w:val="17"/>
          <w:szCs w:val="17"/>
          <w:color w:val="auto"/>
        </w:rPr>
        <w:t>” means, without duplication, all obligations of the Obligors in respect of the Revenue Interests, including all obligations to make Revenue Interest Payments, to make the True-Up Payment and to pay the Put/Call Price, and all present and future Indebtedness, taxes, liabilities, obligations, covenants, duties, and debts, Indemnified Liabilities owing by the Obligors to the Purchasers, in each case, arising under or pursuant to the Transaction Documents, including all Reimbursable Expenses (and including any interest, fees and other charges that would accrue but for the filing of any bankruptcy action by an Obligor, whether or not such claim is allowed in such bankruptcy action). Without limiting the foregoing, the Obligations of the Obligors under the Transaction Documents exclude any obligations in respect of the Option Agreement or any Equity Interests in the Company.</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35" w:name="page36"/>
    <w:bookmarkEnd w:id="3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Obligors</w:t>
      </w:r>
      <w:r>
        <w:rPr>
          <w:rFonts w:ascii="Times New Roman" w:cs="Times New Roman" w:eastAsia="Times New Roman" w:hAnsi="Times New Roman"/>
          <w:sz w:val="18"/>
          <w:szCs w:val="18"/>
          <w:color w:val="auto"/>
        </w:rPr>
        <w:t>” means the Company and each Subsidiary Guarantor.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U.S. Department of the Treasury’s Office of Foreign Assets Control and any successor thereto.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Agreement</w:t>
      </w:r>
      <w:r>
        <w:rPr>
          <w:rFonts w:ascii="Times New Roman" w:cs="Times New Roman" w:eastAsia="Times New Roman" w:hAnsi="Times New Roman"/>
          <w:sz w:val="18"/>
          <w:szCs w:val="18"/>
          <w:color w:val="auto"/>
        </w:rPr>
        <w:t>” means that certain Option Agreement, dated as of the date hereof, between the Company and the Purchasers.</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 Documents</w:t>
      </w:r>
      <w:r>
        <w:rPr>
          <w:rFonts w:ascii="Times New Roman" w:cs="Times New Roman" w:eastAsia="Times New Roman" w:hAnsi="Times New Roman"/>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8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Person, Taxes imposed as a result of a present or former connection between such Person and the jurisdiction imposing such Tax (other than connections arising from such Person having executed, delivered, become a party to, performed its obligations under, received payments under, received or perfected a security interest under, engaged in any other transaction pursuant to or enforced this Agreement, or sold or assigned an interest in any Obligation or this Agreement).</w:t>
      </w:r>
    </w:p>
    <w:p>
      <w:pPr>
        <w:spacing w:after="0" w:line="180"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Out-License</w:t>
      </w:r>
      <w:r>
        <w:rPr>
          <w:rFonts w:ascii="Times New Roman" w:cs="Times New Roman" w:eastAsia="Times New Roman" w:hAnsi="Times New Roman"/>
          <w:sz w:val="18"/>
          <w:szCs w:val="18"/>
          <w:color w:val="auto"/>
        </w:rPr>
        <w:t>” means any license or other agreement between the Company, any Affiliate and/or any Third Party pursuant to which the Company or any Subsidiary grants to such Third Party a license or sublicense with respect to, covenant not to sue under, or other similar rights under any Product Intellectual Property. For clarity, the Out-Licenses existing as of the Closing Date include the Beike License Agreement.</w:t>
      </w:r>
    </w:p>
    <w:p>
      <w:pPr>
        <w:spacing w:after="0" w:line="68"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 Office</w:t>
      </w:r>
      <w:r>
        <w:rPr>
          <w:rFonts w:ascii="Times New Roman" w:cs="Times New Roman" w:eastAsia="Times New Roman" w:hAnsi="Times New Roman"/>
          <w:sz w:val="18"/>
          <w:szCs w:val="18"/>
          <w:color w:val="auto"/>
        </w:rPr>
        <w:t>” means the respective patent office, including the United States Patent and Trademark Office, the European Patent Office and any comparable patent office in any other jurisdiction, for any Patents.</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means all issued national, regional and international patents and patent applications (and any patents that issue as a result of those patent applications or from an application claiming priority from any of those and which for the purposes of this Agreement, shall be deemed to include all certificates of invention and applications for certificates of invention) and any renewals, restorations, reissues, reexaminations or other post-grant proceedings, extensions, continuations, continuations-in-part, divisions, revisions, certificates of invention, registrations, revalidations, utility models, supplemental protection certificates, patent term extensions, pediatric exclusivity periods and substitutions relating to any of the issued patents and patent applications, in any jurisdiction.</w:t>
      </w:r>
    </w:p>
    <w:p>
      <w:pPr>
        <w:spacing w:after="0" w:line="18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Date</w:t>
      </w:r>
      <w:r>
        <w:rPr>
          <w:rFonts w:ascii="Times New Roman" w:cs="Times New Roman" w:eastAsia="Times New Roman" w:hAnsi="Times New Roman"/>
          <w:sz w:val="18"/>
          <w:szCs w:val="18"/>
          <w:color w:val="auto"/>
        </w:rPr>
        <w:t xml:space="preserve">” means each March 31, June 30, September 30 and December 31, commencing on March 31, 2024;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if any such date shall occur on a day that is not a Business Day, the applicable Payment Date shall be the immediately preceding Business Day.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xml:space="preserve">” is that certain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36" w:name="page37"/>
    <w:bookmarkEnd w:id="36"/>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Pension Funding Rules</w:t>
      </w:r>
      <w:r>
        <w:rPr>
          <w:rFonts w:ascii="Times New Roman" w:cs="Times New Roman" w:eastAsia="Times New Roman" w:hAnsi="Times New Roman"/>
          <w:sz w:val="18"/>
          <w:szCs w:val="18"/>
          <w:color w:val="auto"/>
        </w:rPr>
        <w:t>” means the rules of the Code and ERISA regarding minimum funding standards and minimum required contributions (including any installment payment thereof) to Pension Plans and Multiemployer Plans and set forth in, with respect to plan years ending prior to the effective date of the Pension Act, Section 412 of the Code and Section 302 of ERISA, each as in effect prior to the Pension Act and, thereafter, Sections 412, 430, 431, 432 and 436 of the Code and Sections 302, 303, 304 and 305 of ERISA.</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Plan</w:t>
      </w:r>
      <w:r>
        <w:rPr>
          <w:rFonts w:ascii="Times New Roman" w:cs="Times New Roman" w:eastAsia="Times New Roman" w:hAnsi="Times New Roman"/>
          <w:sz w:val="18"/>
          <w:szCs w:val="18"/>
          <w:color w:val="auto"/>
        </w:rPr>
        <w:t>” means any employee pension benefit plan (including a multiple employer plan that is an employee pension benefit plan, but excluding a Multiemployer Plan) that is maintained, sponsored or contributed to by any Obligor or any ERISA Affiliate, or for which any Obligor or any ERISA Affiliate could be considered an “employer” as defined in Section 3(5) of ERISA, and is either covered by Section 302 or Title IV of ERISA, or is subject to the minimum funding standards under Section 412 of the Code.</w:t>
      </w:r>
    </w:p>
    <w:p>
      <w:pPr>
        <w:spacing w:after="0" w:line="180"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Perfection Certificate</w:t>
      </w:r>
      <w:r>
        <w:rPr>
          <w:rFonts w:ascii="Times New Roman" w:cs="Times New Roman" w:eastAsia="Times New Roman" w:hAnsi="Times New Roman"/>
          <w:sz w:val="18"/>
          <w:szCs w:val="18"/>
          <w:color w:val="auto"/>
        </w:rPr>
        <w:t>” means a perfection certificate signed by an officer of the Company, as updated from time to time (without retroactive effect), subject to the review and approval of Purchaser Agent, in accordance with the terms of this Agreement.</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means any Acquisition with respect to which all parties involved (other than the applicable Obligor) are non-Affiliates, provided that:</w:t>
      </w:r>
    </w:p>
    <w:p>
      <w:pPr>
        <w:spacing w:after="0" w:line="54" w:lineRule="exact"/>
        <w:rPr>
          <w:sz w:val="20"/>
          <w:szCs w:val="20"/>
          <w:color w:val="auto"/>
        </w:rPr>
      </w:pPr>
    </w:p>
    <w:p>
      <w:pPr>
        <w:ind w:left="680" w:hanging="244"/>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Acquisition with an aggregate Acquisition Cost in excess of (i) prior to the Milestone, $2,500,000 and (ii) from and after the</w:t>
      </w:r>
    </w:p>
    <w:p>
      <w:pPr>
        <w:spacing w:after="0" w:line="27"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the Milestone, $10,000,000, the Obligors shall have delivered written notice of such Acquisition to the Purchaser Agent, on behalf of the Purchasers, not less than ten (10) Business Days prior to the execution of a definitive agreement for such Acquisition (or such shorter period as may be specified by the Purchaser Agent in its sole discretion) together with a due diligence package consisting of the Board package(s) provided in connection with such Acquisition, including without limitation, with regard to the Acquisition of the applicable target, business product or In-License (together with any material updates available from time to time prior to the closing of such Acquisition), a summary of the development program for all relevant products, a summary of Intellectual Property related to such product or products, a cash forecast, pro forma for the acquisition (inflows and outflows), a description of the sources and uses for financing the Acquisition, and to the extent available, quarterly and annual audited financial statements of the Person whose Equity Interests or assets are being acquired for the twelve (12) month period immediately prior to such proposed Acquisition;</w:t>
      </w:r>
    </w:p>
    <w:p>
      <w:pPr>
        <w:spacing w:after="0" w:line="85" w:lineRule="exact"/>
        <w:rPr>
          <w:rFonts w:ascii="Times New Roman" w:cs="Times New Roman" w:eastAsia="Times New Roman" w:hAnsi="Times New Roman"/>
          <w:sz w:val="18"/>
          <w:szCs w:val="18"/>
          <w:color w:val="auto"/>
        </w:rPr>
      </w:pPr>
    </w:p>
    <w:p>
      <w:pPr>
        <w:ind w:right="200" w:firstLine="436"/>
        <w:spacing w:after="0" w:line="256" w:lineRule="auto"/>
        <w:tabs>
          <w:tab w:leader="none" w:pos="6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Acquisition with an aggregate Acquisition Cost in excess of (i) prior to the Milestone, $2,500,000 and (ii) from and after the occurrence of the Milestone, $10,000,000, Purchaser Agent, on behalf of the Purchasers, shall have received, (i) not less than five (5) Business Days prior to the execution of a definitive agreement for such Acquisition (or such shorter period as may be specified by the Purchaser Agent in its sole discretion), drafts of any acquisition agreements, disclosure schedules, and other material agreements related to the Acquisition and (ii) substantially concurrently with the execution of the definitive documentation relating to such Acquisition, fully executed acquisition agreements and other material agreements with all attachments and schedules;</w:t>
      </w:r>
    </w:p>
    <w:p>
      <w:pPr>
        <w:spacing w:after="0" w:line="79" w:lineRule="exact"/>
        <w:rPr>
          <w:rFonts w:ascii="Times New Roman" w:cs="Times New Roman" w:eastAsia="Times New Roman" w:hAnsi="Times New Roman"/>
          <w:sz w:val="18"/>
          <w:szCs w:val="18"/>
          <w:color w:val="auto"/>
        </w:rPr>
      </w:pPr>
    </w:p>
    <w:p>
      <w:pPr>
        <w:ind w:right="60" w:firstLine="436"/>
        <w:spacing w:after="0" w:line="266" w:lineRule="auto"/>
        <w:tabs>
          <w:tab w:leader="none" w:pos="6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and after giving effect to such Acquisition, no Event of Default nor Put Option Event, nor any event that, with the giving of notice or passage of time, would constitute an Event of Default or Put Option Event, shall have occurred and be continuing or would reasonably be expected to result therefrom;</w:t>
      </w:r>
    </w:p>
    <w:p>
      <w:pPr>
        <w:spacing w:after="0" w:line="6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transactions in connection with such Acquisition shall be consummated, in all material respects, in accordance with Applicable Law;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37" w:name="page38"/>
    <w:bookmarkEnd w:id="37"/>
    <w:p>
      <w:pPr>
        <w:ind w:firstLine="436"/>
        <w:spacing w:after="0" w:line="261" w:lineRule="auto"/>
        <w:tabs>
          <w:tab w:leader="none" w:pos="68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the case of the purchase or other acquisition of Equity Interests, (i) all of the Equity Interests (except for any such Equity Interest in the nature of directors’ qualifying shares required pursuant to Applicable Law) acquired or otherwise issued by such Person or any newly formed Subsidiary in connection with such Acquisition shall be wholly owned by the Company or a Full Guarantor and (ii) all Persons whose Equity Interests are being acquired shall become Obligors to the extent required by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right="80" w:firstLine="436"/>
        <w:spacing w:after="0" w:line="258" w:lineRule="auto"/>
        <w:tabs>
          <w:tab w:leader="none" w:pos="6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cash consideration in the Acquisition Cost for such Acquisition, combined with the aggregate amount of cash used in the Acquisition Cost for all other Permitted Acquisitions entered into after the Closing Date and on or prior to the date of such Acquisition, shall not exceed at any time (x) prior to the Milestone, 10.00% of the market capitalization of the Company determined as of the date on which the definitive documentation for such Acquisition is executed and (y) from and after the occurrence of the Milestone, 20.00% of the market capitalization of the Company determined as of the date on which the definitive documentation for such Acquisition is executed;</w:t>
      </w:r>
    </w:p>
    <w:p>
      <w:pPr>
        <w:spacing w:after="0" w:line="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Change of Control shall result from the consummation of such Acquisition;</w:t>
      </w:r>
    </w:p>
    <w:p>
      <w:pPr>
        <w:spacing w:after="0" w:line="117" w:lineRule="exact"/>
        <w:rPr>
          <w:rFonts w:ascii="Times New Roman" w:cs="Times New Roman" w:eastAsia="Times New Roman" w:hAnsi="Times New Roman"/>
          <w:sz w:val="18"/>
          <w:szCs w:val="18"/>
          <w:color w:val="auto"/>
        </w:rPr>
      </w:pPr>
    </w:p>
    <w:p>
      <w:pPr>
        <w:ind w:right="300" w:firstLine="436"/>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breach or contravention of any Material Contract shall result from such transaction and to the extent such Permitted Acquisition is an In-License, such In-License shall not constitute a Restricted License;</w:t>
      </w:r>
    </w:p>
    <w:p>
      <w:pPr>
        <w:spacing w:after="0" w:line="53" w:lineRule="exact"/>
        <w:rPr>
          <w:rFonts w:ascii="Times New Roman" w:cs="Times New Roman" w:eastAsia="Times New Roman" w:hAnsi="Times New Roman"/>
          <w:sz w:val="18"/>
          <w:szCs w:val="18"/>
          <w:color w:val="auto"/>
        </w:rPr>
      </w:pPr>
    </w:p>
    <w:p>
      <w:pPr>
        <w:ind w:right="440" w:firstLine="436"/>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Acquisition shall be consensual and, if required under Applicable Law or the organizational documents of the target, shall have been approved by the target’s board of directors;</w:t>
      </w:r>
    </w:p>
    <w:p>
      <w:pPr>
        <w:spacing w:after="0" w:line="53" w:lineRule="exact"/>
        <w:rPr>
          <w:rFonts w:ascii="Times New Roman" w:cs="Times New Roman" w:eastAsia="Times New Roman" w:hAnsi="Times New Roman"/>
          <w:sz w:val="18"/>
          <w:szCs w:val="18"/>
          <w:color w:val="auto"/>
        </w:rPr>
      </w:pPr>
    </w:p>
    <w:p>
      <w:pPr>
        <w:ind w:right="280" w:firstLine="436"/>
        <w:spacing w:after="0" w:line="266" w:lineRule="auto"/>
        <w:tabs>
          <w:tab w:leader="none" w:pos="6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whose Equity Interests, business or line of business are being acquired shall be engaged in, or the asset acquired shall be used to engage in, or any In-License shall be in relation to, the same line of business as the Company and/or its Subsidiaries or a line of business incidental, complementary or reasonably related thereto, or a reasonable extension thereof; and</w:t>
      </w:r>
    </w:p>
    <w:p>
      <w:pPr>
        <w:spacing w:after="0" w:line="67" w:lineRule="exact"/>
        <w:rPr>
          <w:rFonts w:ascii="Times New Roman" w:cs="Times New Roman" w:eastAsia="Times New Roman" w:hAnsi="Times New Roman"/>
          <w:sz w:val="18"/>
          <w:szCs w:val="18"/>
          <w:color w:val="auto"/>
        </w:rPr>
      </w:pPr>
    </w:p>
    <w:p>
      <w:pPr>
        <w:ind w:firstLine="436"/>
        <w:spacing w:after="0" w:line="255"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Acquisition with an aggregate Acquisition Cost in excess of (i) prior to the Milestone, $2,500,000 and (ii) from and after the occurrence of the Milestone, $10,000,000, on a pro forma basis for such Acquisition, without regard to any subsequent financing transactions of the Obligors, as demonstrated by projections (taking into account the terms of such transaction and all Acquisition Cost incurred or expected to be incurred in connection with or as a result of, such transaction), the Obligors shall have sufficient liquidity to pay their projected expenses and all debt service when due for a period of six (6) months after the consummation of such Acquisition (after giving effect to such Acquisition), as set forth in reasonably detailed projections delivered by the Obligors to the Purchaser Agent at least five (5) Business Days prior to the execution of the definitive agreement for such Acquisition.</w:t>
      </w:r>
    </w:p>
    <w:p>
      <w:pPr>
        <w:spacing w:after="0" w:line="189" w:lineRule="exact"/>
        <w:rPr>
          <w:sz w:val="20"/>
          <w:szCs w:val="20"/>
          <w:color w:val="auto"/>
        </w:rPr>
      </w:pPr>
    </w:p>
    <w:p>
      <w:pPr>
        <w:ind w:right="200" w:firstLine="440"/>
        <w:spacing w:after="0" w:line="289" w:lineRule="auto"/>
        <w:rPr>
          <w:sz w:val="20"/>
          <w:szCs w:val="20"/>
          <w:color w:val="auto"/>
        </w:rPr>
      </w:pPr>
      <w:r>
        <w:rPr>
          <w:rFonts w:ascii="Times New Roman" w:cs="Times New Roman" w:eastAsia="Times New Roman" w:hAnsi="Times New Roman"/>
          <w:sz w:val="17"/>
          <w:szCs w:val="17"/>
          <w:color w:val="auto"/>
        </w:rPr>
        <w:t>On or prior to the date of any such Acquisition, Purchaser Agent shall have received, in form and substance reasonably satisfactory to Purchaser Agent, a certificate signed by the chief financial officer of the Company certifying compliance with the foregoing requirements contained in this definition of “Permitted Acquisition” and with the other terms of the Transaction Documents (before and after giving effect to such Acquisition).</w:t>
      </w:r>
    </w:p>
    <w:p>
      <w:pPr>
        <w:spacing w:after="0" w:line="158"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Bond Hedging Agreement</w:t>
      </w:r>
      <w:r>
        <w:rPr>
          <w:rFonts w:ascii="Times New Roman" w:cs="Times New Roman" w:eastAsia="Times New Roman" w:hAnsi="Times New Roman"/>
          <w:sz w:val="18"/>
          <w:szCs w:val="18"/>
          <w:color w:val="auto"/>
        </w:rPr>
        <w:t xml:space="preserve">” means any forward purchase agreement, call option or other equity derivative transaction relating to the equity interests of the Company (or other securities or property that the common stock of the Company is converted into following a merger event or other change of the common stock of the Company) executed in connection with the issuance of any Permitted Convertible Notes (or deemed executed therewith);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no cash payment (other than cash in lieu of fractional shares) by the Company (or any of its Subsidiaries) shall be required in connection with the exercise, unwinding, settlement or termination of such Permitted Bond Hedging Agreement.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38" w:name="page39"/>
    <w:bookmarkEnd w:id="38"/>
    <w:p>
      <w:pPr>
        <w:ind w:left="4"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Permitted Convertible Notes</w:t>
      </w:r>
      <w:r>
        <w:rPr>
          <w:rFonts w:ascii="Times New Roman" w:cs="Times New Roman" w:eastAsia="Times New Roman" w:hAnsi="Times New Roman"/>
          <w:sz w:val="18"/>
          <w:szCs w:val="18"/>
          <w:color w:val="auto"/>
        </w:rPr>
        <w:t xml:space="preserve">” means senior subordinated unsecured notes issued by the Company, following a bona fide marketing process, that are convertible into a fixed number (subject to customary anti-dilution adjustments, “make-whole” increases and other customary changes thereto) of common stock of the Company (or other securities or property following a merger event, reclassification or other change of the common stock of the Company, but for the avoidance of doubt excluding Disqualified Equity Interests), cash or a combination thereof and cash in lieu of fractional shares of common stock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 no Subsidiary shall guarantee such Permitted Convertible Notes, (b) such Permitted Convertible Notes shall (i) not include any financial maintenance or negative covenants (other than customary covenants regarding stay, extension and usury laws, and regarding mergers and sales of assets), (ii) have other terms, conditions, covenants and defaults that are, taken as a whole, not more restrictive on the Company and its Subsidiaries than the covenants and defaults set forth in the Transaction Documents and which terms, including conversion, redemption and fundamental change provisions, are customary for public market convertible indebtedness (pursuant to a public offering or an offering under Rule 144A of the Securities Act, in each case, as determined by the board of directors of the Company in good faith), and (iii) permit physical settlement (and cash in lieu of fractional shares) upon conversion (and the Company shall not elect cash or combination settlement upon conversion without the Purchaser Agent’s prior written consent), (c) no Put Option Event shall have occurred and be continuing at the time of incurrence of such Permitted Convertible Notes or could result upon such incurrence, (d) such Permitted Convertible Notes shall (x) contain subordination terms for underwritten or Rule 144A offerings of senior subordinated convertible notes substantially the same form and substance as set forth on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and</w:t>
      </w:r>
    </w:p>
    <w:p>
      <w:pPr>
        <w:spacing w:after="0" w:line="12" w:lineRule="exact"/>
        <w:rPr>
          <w:sz w:val="20"/>
          <w:szCs w:val="20"/>
          <w:color w:val="auto"/>
        </w:rPr>
      </w:pPr>
    </w:p>
    <w:p>
      <w:pPr>
        <w:ind w:left="4" w:hanging="4"/>
        <w:spacing w:after="0" w:line="252" w:lineRule="auto"/>
        <w:tabs>
          <w:tab w:leader="none" w:pos="25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specifically designate this Agreement and all Obligations as “designated senior indebtedness” or similar term so that the subordination terms referred to in clause (d) of this definition specifically refer to such notes as being subordinated to the Obligations pursuant to such subordination terms, (e) no scheduled or mandatory principal payments, repayments, prepayments, cash settlements, repurchases, redemptions or sinking fund or like payments (but excluding, for the avoidance of doubt, regularly scheduled cash interest payments) of such Permitted Convertible Notes shall be required at any time on or prior to the stated maturity date thereof (other than upon a “change of control” or “fundamental change”), (f) such Permitted Convertible Notes shall have a cash interest rate of less than 10% per annum and (g) the Company shall have delivered to the Purchaser Agent an officer’s certificate signed by a senior executive of the Company certifying as to the foregoing.</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Debt Payments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684" w:hanging="244"/>
        <w:spacing w:after="0"/>
        <w:tabs>
          <w:tab w:leader="none" w:pos="6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regularly scheduled payments of interest;</w:t>
      </w:r>
    </w:p>
    <w:p>
      <w:pPr>
        <w:spacing w:after="0" w:line="117" w:lineRule="exact"/>
        <w:rPr>
          <w:rFonts w:ascii="Times New Roman" w:cs="Times New Roman" w:eastAsia="Times New Roman" w:hAnsi="Times New Roman"/>
          <w:sz w:val="18"/>
          <w:szCs w:val="18"/>
          <w:color w:val="auto"/>
        </w:rPr>
      </w:pPr>
    </w:p>
    <w:p>
      <w:pPr>
        <w:ind w:left="4" w:right="280" w:firstLine="436"/>
        <w:spacing w:after="0" w:line="282" w:lineRule="auto"/>
        <w:tabs>
          <w:tab w:leader="none" w:pos="69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or conversion of any Indebtedness for, into or with, the Company’s Equity Interests (other than Disqualified Equity Interests), together with cash payments in lieu of any fractional shares and in respect of any accrued and unpaid interest;</w:t>
      </w:r>
    </w:p>
    <w:p>
      <w:pPr>
        <w:spacing w:after="0" w:line="53"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Company’s market capitalization as of the date of any such payment is at least Two Billion Five Hundred Million Dollars</w:t>
      </w:r>
    </w:p>
    <w:p>
      <w:pPr>
        <w:spacing w:after="0" w:line="27" w:lineRule="exact"/>
        <w:rPr>
          <w:sz w:val="20"/>
          <w:szCs w:val="20"/>
          <w:color w:val="auto"/>
        </w:rPr>
      </w:pPr>
    </w:p>
    <w:p>
      <w:pPr>
        <w:ind w:left="4" w:right="60"/>
        <w:spacing w:after="0" w:line="253" w:lineRule="auto"/>
        <w:rPr>
          <w:sz w:val="20"/>
          <w:szCs w:val="20"/>
          <w:color w:val="auto"/>
        </w:rPr>
      </w:pPr>
      <w:r>
        <w:rPr>
          <w:rFonts w:ascii="Times New Roman" w:cs="Times New Roman" w:eastAsia="Times New Roman" w:hAnsi="Times New Roman"/>
          <w:sz w:val="18"/>
          <w:szCs w:val="18"/>
          <w:color w:val="auto"/>
        </w:rPr>
        <w:t>($2,500,000,000), the redemption or repurchase of any Permitted Convertible Notes or Existing Stockholder Indebtedness solely with (X) the net proceeds of a substantially concurrent offering of the Company’s Equity Interests (other than Disqualified Equity Interests and other than proceeds from an “at the market” offering) where such use of proceeds was specifically disclosed to the investors in such offering and (Y) from and after the occurrence of the Milestone, the net proceeds of any sale of the Company’s Equity Interests (other than Disqualified Equity Interests) pursuant to a concurrent “at the market” offering;</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70" w:right="459" w:bottom="1440" w:gutter="0" w:footer="0" w:header="0"/>
        </w:sectPr>
      </w:pPr>
    </w:p>
    <w:bookmarkStart w:id="39" w:name="page40"/>
    <w:bookmarkEnd w:id="39"/>
    <w:p>
      <w:pPr>
        <w:ind w:firstLine="436"/>
        <w:spacing w:after="0" w:line="266" w:lineRule="auto"/>
        <w:tabs>
          <w:tab w:leader="none" w:pos="6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payments in respect of Indebtedness described in clauses (a), (c), (d), (e) (provided that payments in respect of the Indebtedness underlying the applicable guarantee are otherwise permitted), (f), (g), (h), (i), (j), (k), (l), (m), (p), (q), (r) and (s) (to the extent such payments are permitted under the applicable subordination agreement) of the definition of “Permitted Indebtedness,” in each case in the ordinary course of the Company’s business;</w:t>
      </w:r>
    </w:p>
    <w:p>
      <w:pPr>
        <w:spacing w:after="0" w:line="67" w:lineRule="exact"/>
        <w:rPr>
          <w:rFonts w:ascii="Times New Roman" w:cs="Times New Roman" w:eastAsia="Times New Roman" w:hAnsi="Times New Roman"/>
          <w:sz w:val="18"/>
          <w:szCs w:val="18"/>
          <w:color w:val="auto"/>
        </w:rPr>
      </w:pPr>
    </w:p>
    <w:p>
      <w:pPr>
        <w:ind w:right="140" w:firstLine="436"/>
        <w:spacing w:after="0" w:line="261" w:lineRule="auto"/>
        <w:tabs>
          <w:tab w:leader="none" w:pos="6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(i) no Put Option Event has occurred and is continuing, (ii) the Milestone has occurred, and (iii) either (A) Net Sales for the most recently completed four fiscal quarter period for which financial statements have been delivered pursuant to Section 5.02(a) exceed the product of Cumulative Purchaser Payments and 1.5 or (B) the Total Revenue Interest Payments as of such date exceed the Cumulative Purchaser Payments, other payments in respect of Existing Stockholder Indebtedness;</w:t>
      </w:r>
    </w:p>
    <w:p>
      <w:pPr>
        <w:spacing w:after="0" w:line="71" w:lineRule="exact"/>
        <w:rPr>
          <w:rFonts w:ascii="Times New Roman" w:cs="Times New Roman" w:eastAsia="Times New Roman" w:hAnsi="Times New Roman"/>
          <w:sz w:val="18"/>
          <w:szCs w:val="18"/>
          <w:color w:val="auto"/>
        </w:rPr>
      </w:pPr>
    </w:p>
    <w:p>
      <w:pPr>
        <w:ind w:right="200" w:firstLine="436"/>
        <w:spacing w:after="0" w:line="266" w:lineRule="auto"/>
        <w:tabs>
          <w:tab w:leader="none" w:pos="66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(i) no Put Option Event has occurred and is continuing, (ii) the FDA Approval Date shall have occurred, (iii) the Note Payment Milestone has occurred, and (iv) the Second Payment shall have been made, principal payments in respect of Existing Stockholder Indebtedness in an aggregate amount not to exceed $100,000,000;</w:t>
      </w:r>
    </w:p>
    <w:p>
      <w:pPr>
        <w:spacing w:after="0" w:line="67" w:lineRule="exact"/>
        <w:rPr>
          <w:rFonts w:ascii="Times New Roman" w:cs="Times New Roman" w:eastAsia="Times New Roman" w:hAnsi="Times New Roman"/>
          <w:sz w:val="18"/>
          <w:szCs w:val="18"/>
          <w:color w:val="auto"/>
        </w:rPr>
      </w:pPr>
    </w:p>
    <w:p>
      <w:pPr>
        <w:jc w:val="both"/>
        <w:ind w:right="100" w:firstLine="436"/>
        <w:spacing w:after="0" w:line="261" w:lineRule="auto"/>
        <w:tabs>
          <w:tab w:leader="none" w:pos="6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Put Option Event has occurred and is continuing, the prepayment of $50,000,000 of Tranche 2 Principal Amount (as defined therein) outstanding under that certain Amended and Restated Promissory Note, dated December 29, 2023, issued by the Company to Nant Capital, LLC, pursuant to Section 1(d) of such Amended and Restated Promissory Note, using solely the concurrent net proceeds of a Specified Transaction (as defined in such Amended and Restated Promissory Note); and</w:t>
      </w:r>
    </w:p>
    <w:p>
      <w:pPr>
        <w:spacing w:after="0" w:line="71" w:lineRule="exact"/>
        <w:rPr>
          <w:rFonts w:ascii="Times New Roman" w:cs="Times New Roman" w:eastAsia="Times New Roman" w:hAnsi="Times New Roman"/>
          <w:sz w:val="18"/>
          <w:szCs w:val="18"/>
          <w:color w:val="auto"/>
        </w:rPr>
      </w:pPr>
    </w:p>
    <w:p>
      <w:pPr>
        <w:ind w:right="100" w:firstLine="436"/>
        <w:spacing w:after="0" w:line="266" w:lineRule="auto"/>
        <w:tabs>
          <w:tab w:leader="none" w:pos="6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required repurchase of Permitted Convertible Notes upon a “change of control” or “fundamental change” (as defined in such Permitted Convertible 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if the Purchasers exercise the Put Option in connection with such event, the Company indefeasibly pays the Put/Call Price prior to such repurchase.</w:t>
      </w:r>
    </w:p>
    <w:p>
      <w:pPr>
        <w:spacing w:after="0" w:line="176" w:lineRule="exact"/>
        <w:rPr>
          <w:sz w:val="20"/>
          <w:szCs w:val="20"/>
          <w:color w:val="auto"/>
        </w:rPr>
      </w:pPr>
    </w:p>
    <w:p>
      <w:pPr>
        <w:ind w:right="3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Holder</w:t>
      </w:r>
      <w:r>
        <w:rPr>
          <w:rFonts w:ascii="Times New Roman" w:cs="Times New Roman" w:eastAsia="Times New Roman" w:hAnsi="Times New Roman"/>
          <w:sz w:val="18"/>
          <w:szCs w:val="18"/>
          <w:color w:val="auto"/>
        </w:rPr>
        <w:t xml:space="preserve">” means any of (a) the Investors (and, with respect to any Investor that is a natural person, his or her Immediate Family Members) and (b) any group (within the meaning of Section 13(d) or 14(d) of the Exchange Act) of which the Investors are members and any other member of such group;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Investors, without giving effect to the existence of such group or any other group, collectively beneficially own, directly or indirectly, Equity Interests constituting a majority of the aggregate ordinary voting power represented by the then issued and outstanding Equity Securities of the Company (or any direct or indirect parent of the Company) owned by such group.</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Indebtedness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680" w:hanging="244"/>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owed to the Purchasers and the Purchaser Agent under this Agreement and the other Transaction Documents;</w:t>
      </w:r>
    </w:p>
    <w:p>
      <w:pPr>
        <w:spacing w:after="0" w:line="117" w:lineRule="exact"/>
        <w:rPr>
          <w:rFonts w:ascii="Times New Roman" w:cs="Times New Roman" w:eastAsia="Times New Roman" w:hAnsi="Times New Roman"/>
          <w:sz w:val="18"/>
          <w:szCs w:val="18"/>
          <w:color w:val="auto"/>
        </w:rPr>
      </w:pPr>
    </w:p>
    <w:p>
      <w:pPr>
        <w:ind w:right="120" w:firstLine="436"/>
        <w:spacing w:after="0" w:line="261" w:lineRule="auto"/>
        <w:tabs>
          <w:tab w:leader="none" w:pos="6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existing on the Closing Date and disclosed on </w:t>
      </w:r>
      <w:r>
        <w:rPr>
          <w:rFonts w:ascii="Times New Roman" w:cs="Times New Roman" w:eastAsia="Times New Roman" w:hAnsi="Times New Roman"/>
          <w:sz w:val="18"/>
          <w:szCs w:val="18"/>
          <w:u w:val="single" w:color="auto"/>
          <w:color w:val="auto"/>
        </w:rPr>
        <w:t>Schedule 5.11(a)(iii)</w:t>
      </w:r>
      <w:r>
        <w:rPr>
          <w:rFonts w:ascii="Times New Roman" w:cs="Times New Roman" w:eastAsia="Times New Roman" w:hAnsi="Times New Roman"/>
          <w:sz w:val="18"/>
          <w:szCs w:val="18"/>
          <w:color w:val="auto"/>
        </w:rPr>
        <w:t xml:space="preserve"> to the Disclosure Letter and, solely with respect to the items listed as numbers 10 and 11 on such schedule, any modifications, refinancings, refundings, replacements, exchanges, renewals, extensions, and/or restatements of such Indebtedness so long as the principal amount thereof does not exceed the principal amount of the Indebtedness so modified, refinanced, refunded, replaced, exchanged, renewed, extended or restated;</w:t>
      </w:r>
    </w:p>
    <w:p>
      <w:pPr>
        <w:spacing w:after="0" w:line="7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Indebtedness to trade creditors incurred in the ordinary course of business;</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constituting Permitted Investments under clause (f) thereof;</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70" w:right="479" w:bottom="1440" w:gutter="0" w:footer="0" w:header="0"/>
        </w:sectPr>
      </w:pPr>
    </w:p>
    <w:bookmarkStart w:id="40" w:name="page41"/>
    <w:bookmarkEnd w:id="40"/>
    <w:p>
      <w:pPr>
        <w:ind w:left="4" w:right="200" w:firstLine="436"/>
        <w:spacing w:after="0" w:line="282" w:lineRule="auto"/>
        <w:tabs>
          <w:tab w:leader="none" w:pos="68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Guarantees by the Company and/or any of its Subsidiaries in respect of Indebtedness and other obligations of the Company and/or any of its Subsidiaries otherwise permitted hereunder;</w:t>
      </w:r>
    </w:p>
    <w:p>
      <w:pPr>
        <w:spacing w:after="0" w:line="53"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by the Company or its Subsidiaries to finance the payment of insurance premiums;</w:t>
      </w:r>
    </w:p>
    <w:p>
      <w:pPr>
        <w:spacing w:after="0" w:line="117" w:lineRule="exact"/>
        <w:rPr>
          <w:rFonts w:ascii="Times New Roman" w:cs="Times New Roman" w:eastAsia="Times New Roman" w:hAnsi="Times New Roman"/>
          <w:sz w:val="18"/>
          <w:szCs w:val="18"/>
          <w:color w:val="auto"/>
        </w:rPr>
      </w:pPr>
    </w:p>
    <w:p>
      <w:pPr>
        <w:ind w:left="4" w:right="440" w:firstLine="436"/>
        <w:spacing w:after="0" w:line="266" w:lineRule="auto"/>
        <w:tabs>
          <w:tab w:leader="none" w:pos="69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owed to any Person providing worker’s compensation, health, disability or other employee benefits or property, casualty or liability insurance to the Company or any Subsidiary incurred in connection with such Person providing such benefits or insurance pursuant to customary reimbursement or indemnification obligations to such Person;</w:t>
      </w:r>
    </w:p>
    <w:p>
      <w:pPr>
        <w:spacing w:after="0" w:line="67" w:lineRule="exact"/>
        <w:rPr>
          <w:rFonts w:ascii="Times New Roman" w:cs="Times New Roman" w:eastAsia="Times New Roman" w:hAnsi="Times New Roman"/>
          <w:sz w:val="18"/>
          <w:szCs w:val="18"/>
          <w:color w:val="auto"/>
        </w:rPr>
      </w:pPr>
    </w:p>
    <w:p>
      <w:pPr>
        <w:ind w:left="4" w:right="240" w:firstLine="436"/>
        <w:spacing w:after="0" w:line="282" w:lineRule="auto"/>
        <w:tabs>
          <w:tab w:leader="none" w:pos="69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(or liabilities as a surety, endorser, accommodation endorser or otherwise) in respect of performance, surety, statutory, appeal or similar obligations incurred in the ordinary course of business but excluding guaranties with respect to any obligations for borrowed money;</w:t>
      </w:r>
    </w:p>
    <w:p>
      <w:pPr>
        <w:spacing w:after="0" w:line="53" w:lineRule="exact"/>
        <w:rPr>
          <w:rFonts w:ascii="Times New Roman" w:cs="Times New Roman" w:eastAsia="Times New Roman" w:hAnsi="Times New Roman"/>
          <w:sz w:val="18"/>
          <w:szCs w:val="18"/>
          <w:color w:val="auto"/>
        </w:rPr>
      </w:pPr>
    </w:p>
    <w:p>
      <w:pPr>
        <w:jc w:val="both"/>
        <w:ind w:left="4" w:right="160" w:firstLine="436"/>
        <w:spacing w:after="0" w:line="266" w:lineRule="auto"/>
        <w:tabs>
          <w:tab w:leader="none" w:pos="65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letters of credit, bank guarantees, bankers acceptances and/or similar obligations in an aggregate principal amount not to exceed (x) $2,500,000 at any time outstanding prior to the Milestone and (y) from and after the occurrence of the Milestone, $10,000,000 at any time outstanding;</w:t>
      </w:r>
    </w:p>
    <w:p>
      <w:pPr>
        <w:spacing w:after="0" w:line="67" w:lineRule="exact"/>
        <w:rPr>
          <w:rFonts w:ascii="Times New Roman" w:cs="Times New Roman" w:eastAsia="Times New Roman" w:hAnsi="Times New Roman"/>
          <w:sz w:val="18"/>
          <w:szCs w:val="18"/>
          <w:color w:val="auto"/>
        </w:rPr>
      </w:pPr>
    </w:p>
    <w:p>
      <w:pPr>
        <w:ind w:left="4" w:right="260" w:firstLine="436"/>
        <w:spacing w:after="0" w:line="266" w:lineRule="auto"/>
        <w:tabs>
          <w:tab w:leader="none" w:pos="65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payment processing services, netting services, overdrafts and other liabilities in connection with deposit accounts and/or securities accounts (including Indebtedness resulting from the honoring by a bank or other financial institution of a check, draft or similar instrument drawn against insufficient funds) and/or otherwise arising from treasury, depositary and cash management services;</w:t>
      </w:r>
    </w:p>
    <w:p>
      <w:pPr>
        <w:spacing w:after="0" w:line="67" w:lineRule="exact"/>
        <w:rPr>
          <w:rFonts w:ascii="Times New Roman" w:cs="Times New Roman" w:eastAsia="Times New Roman" w:hAnsi="Times New Roman"/>
          <w:sz w:val="18"/>
          <w:szCs w:val="18"/>
          <w:color w:val="auto"/>
        </w:rPr>
      </w:pPr>
    </w:p>
    <w:p>
      <w:pPr>
        <w:ind w:left="4" w:firstLine="436"/>
        <w:spacing w:after="0" w:line="276" w:lineRule="auto"/>
        <w:tabs>
          <w:tab w:leader="none" w:pos="699"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in respect of business credit card programs, debit cards, stored value cards, and/or commercial cards (including “purchase cards,” “procurement cards,” or “p-cards”) in an aggregate principal amount not to exceed (x) $2,500,000 at any time outstanding prior to the Milestone and</w:t>
      </w:r>
    </w:p>
    <w:p>
      <w:pPr>
        <w:ind w:left="264" w:hanging="264"/>
        <w:spacing w:after="0"/>
        <w:tabs>
          <w:tab w:leader="none" w:pos="26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occurrence of the Milestone, $10,000,000 at any time outstanding;</w:t>
      </w:r>
    </w:p>
    <w:p>
      <w:pPr>
        <w:spacing w:after="0" w:line="98" w:lineRule="exact"/>
        <w:rPr>
          <w:rFonts w:ascii="Times New Roman" w:cs="Times New Roman" w:eastAsia="Times New Roman" w:hAnsi="Times New Roman"/>
          <w:sz w:val="18"/>
          <w:szCs w:val="18"/>
          <w:color w:val="auto"/>
        </w:rPr>
      </w:pPr>
    </w:p>
    <w:p>
      <w:pPr>
        <w:ind w:left="4" w:right="100" w:firstLine="436"/>
        <w:spacing w:after="0" w:line="255" w:lineRule="auto"/>
        <w:tabs>
          <w:tab w:leader="none" w:pos="65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capitalized lease obligations and purchase money Indebtedness, in each case incurred by the Company or any of its Subsidiaries to finance the acquisition, repair, improvement or construction of fixed or capital assets of such person, provided that (i) the principal amount of such Indebtedness does not exceed the lower of the cost or fair market value of the property so acquired or built or of such repairs or improvements financed with such Indebtedness (each measured at the time of such acquisition, repair, improvement or construction is made), and</w:t>
      </w:r>
    </w:p>
    <w:p>
      <w:pPr>
        <w:spacing w:after="0" w:line="2" w:lineRule="exact"/>
        <w:rPr>
          <w:rFonts w:ascii="Times New Roman" w:cs="Times New Roman" w:eastAsia="Times New Roman" w:hAnsi="Times New Roman"/>
          <w:sz w:val="18"/>
          <w:szCs w:val="18"/>
          <w:color w:val="auto"/>
        </w:rPr>
      </w:pPr>
    </w:p>
    <w:p>
      <w:pPr>
        <w:ind w:left="4" w:right="80" w:hanging="4"/>
        <w:spacing w:after="0" w:line="260" w:lineRule="auto"/>
        <w:tabs>
          <w:tab w:leader="none" w:pos="26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Indebtedness is in an aggregate principal amount outstanding at any time not to exceed (x) prior to the Milestone, $5,000,000 and (y) from and after the occurrence of the Milestone, $25,000,000;</w:t>
      </w:r>
    </w:p>
    <w:p>
      <w:pPr>
        <w:spacing w:after="0" w:line="73" w:lineRule="exact"/>
        <w:rPr>
          <w:rFonts w:ascii="Times New Roman" w:cs="Times New Roman" w:eastAsia="Times New Roman" w:hAnsi="Times New Roman"/>
          <w:sz w:val="18"/>
          <w:szCs w:val="18"/>
          <w:color w:val="auto"/>
        </w:rPr>
      </w:pPr>
    </w:p>
    <w:p>
      <w:pPr>
        <w:ind w:left="744" w:hanging="304"/>
        <w:spacing w:after="0"/>
        <w:tabs>
          <w:tab w:leader="none" w:pos="74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hedging agreements entered into for bona fide hedging purposes in the ordinary course and not for speculative</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purposes;</w:t>
      </w:r>
    </w:p>
    <w:p>
      <w:pPr>
        <w:spacing w:after="0" w:line="98"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Convertible Notes;</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4"/>
          </w:cols>
          <w:pgMar w:left="436" w:top="270" w:right="479" w:bottom="1440" w:gutter="0" w:footer="0" w:header="0"/>
        </w:sectPr>
      </w:pPr>
    </w:p>
    <w:bookmarkStart w:id="41" w:name="page42"/>
    <w:bookmarkEnd w:id="41"/>
    <w:p>
      <w:pPr>
        <w:ind w:left="4" w:firstLine="436"/>
        <w:spacing w:after="0" w:line="253" w:lineRule="auto"/>
        <w:tabs>
          <w:tab w:leader="none" w:pos="69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Existing Stockholder Indebtedness so long as it remains subject to an enforceable subordination agreement delivered to Purchaser Agent pursuant to </w:t>
      </w:r>
      <w:r>
        <w:rPr>
          <w:rFonts w:ascii="Times New Roman" w:cs="Times New Roman" w:eastAsia="Times New Roman" w:hAnsi="Times New Roman"/>
          <w:sz w:val="18"/>
          <w:szCs w:val="18"/>
          <w:u w:val="single" w:color="auto"/>
          <w:color w:val="auto"/>
        </w:rPr>
        <w:t>Section 2.03(b)(i)(L)</w:t>
      </w:r>
      <w:r>
        <w:rPr>
          <w:rFonts w:ascii="Times New Roman" w:cs="Times New Roman" w:eastAsia="Times New Roman" w:hAnsi="Times New Roman"/>
          <w:sz w:val="18"/>
          <w:szCs w:val="18"/>
          <w:color w:val="auto"/>
        </w:rPr>
        <w:t xml:space="preserve"> and any modifications, refinancings, refundings, replacements, exchanges, renewals, extensions, and/or restatements of such Indebtedness so long as (i) the principal amount thereof does not exceed the principal amount of the Indebtedness so modified, refinanced, refunded, replaced, exchanged, renewed, extended or restated, except by an amount equal to unpaid accrued interest thereon plus fees and expenses reasonably incurred, in connection therewith, (ii) the terms thereof (including, without limitation, interest rates, fees, payment terms and covenants) are in no way more onerous or restrictive than the terms of the Indebtedness so modified, refinanced, refunded, replaced, exchanged, renewed, extended or restated, (iii) such modification, refinancing, refunding, replacement, exchange, renewal, extension or restatement involves the exact same parties as the original Existing Stockholder Indebtedness and involves no additional parties, and (iv) for the avoidance of doubt, such modification, refinancing, refunding, replacement, exchange, renewal, extension or restatement is subject to the subordination agreement delivered to Purchaser Agent pursuant to </w:t>
      </w:r>
      <w:r>
        <w:rPr>
          <w:rFonts w:ascii="Times New Roman" w:cs="Times New Roman" w:eastAsia="Times New Roman" w:hAnsi="Times New Roman"/>
          <w:sz w:val="18"/>
          <w:szCs w:val="18"/>
          <w:u w:val="single" w:color="auto"/>
          <w:color w:val="auto"/>
        </w:rPr>
        <w:t>Section 2.03(b)(i)(L)</w:t>
      </w:r>
      <w:r>
        <w:rPr>
          <w:rFonts w:ascii="Times New Roman" w:cs="Times New Roman" w:eastAsia="Times New Roman" w:hAnsi="Times New Roman"/>
          <w:sz w:val="18"/>
          <w:szCs w:val="18"/>
          <w:color w:val="auto"/>
        </w:rPr>
        <w:t xml:space="preserve"> or another subordination agreement satisfactory to Purchaser Agent in its sole and absolute discretion;</w:t>
      </w:r>
    </w:p>
    <w:p>
      <w:pPr>
        <w:spacing w:after="0" w:line="86"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endorsements of instruments for deposit or collection in the ordinary course of business;</w:t>
      </w:r>
    </w:p>
    <w:p>
      <w:pPr>
        <w:spacing w:after="0" w:line="117" w:lineRule="exact"/>
        <w:rPr>
          <w:rFonts w:ascii="Times New Roman" w:cs="Times New Roman" w:eastAsia="Times New Roman" w:hAnsi="Times New Roman"/>
          <w:sz w:val="18"/>
          <w:szCs w:val="18"/>
          <w:color w:val="auto"/>
        </w:rPr>
      </w:pPr>
    </w:p>
    <w:p>
      <w:pPr>
        <w:ind w:left="4" w:firstLine="436"/>
        <w:spacing w:after="0" w:line="256" w:lineRule="auto"/>
        <w:tabs>
          <w:tab w:leader="none" w:pos="69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a Person that is acquired in a Permitted Acquisition and/or Indebtedness assumed by the Company or any of its Subsidiaries in connection with a Permitted Acquisition or Permitted Investment permitted hereunder;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 such Indebtedness is not incurred in connection with, or in contemplation of, such Acquisition or Investment and (II) unless such Indebtedness consists solely of Indebtedness in respect of letters of credit or capital leases of real or personal property, such Indebtedness is subject to a subordination agreement satisfactory in Purchaser Agent’s sole and absolute discretion;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Indebtedness is in an aggregate amount outstanding at any time not to exceed (x) prior to the Milestone, $5,000,000 and (y) from and after the occurrence of the Milestone, $10,000,000;</w:t>
      </w:r>
    </w:p>
    <w:p>
      <w:pPr>
        <w:spacing w:after="0" w:line="79"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Indebtedness arising as a result of judgments, orders, awards or decrees, in each case which do not constitute an Event of Default;</w:t>
      </w:r>
    </w:p>
    <w:p>
      <w:pPr>
        <w:spacing w:after="0" w:line="117"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Debt; and</w:t>
      </w:r>
    </w:p>
    <w:p>
      <w:pPr>
        <w:spacing w:after="0" w:line="117" w:lineRule="exact"/>
        <w:rPr>
          <w:rFonts w:ascii="Times New Roman" w:cs="Times New Roman" w:eastAsia="Times New Roman" w:hAnsi="Times New Roman"/>
          <w:sz w:val="18"/>
          <w:szCs w:val="18"/>
          <w:color w:val="auto"/>
        </w:rPr>
      </w:pPr>
    </w:p>
    <w:p>
      <w:pPr>
        <w:ind w:left="4" w:right="60" w:firstLine="436"/>
        <w:spacing w:after="0" w:line="282" w:lineRule="auto"/>
        <w:tabs>
          <w:tab w:leader="none" w:pos="65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unsecured Indebtedness not otherwise permitted under clauses (a) through (r) in an aggregate outstanding principal amount not to exceed at any time (x) prior to the Milestone, $2,500,000 and (y) from and after the occurrence of the Milestone, $10,000,000.</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Investments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4" w:right="140" w:firstLine="436"/>
        <w:spacing w:after="0" w:line="282" w:lineRule="auto"/>
        <w:tabs>
          <w:tab w:leader="none" w:pos="68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2.03(c)(vii)</w:t>
      </w:r>
      <w:r>
        <w:rPr>
          <w:rFonts w:ascii="Times New Roman" w:cs="Times New Roman" w:eastAsia="Times New Roman" w:hAnsi="Times New Roman"/>
          <w:sz w:val="18"/>
          <w:szCs w:val="18"/>
          <w:color w:val="auto"/>
        </w:rPr>
        <w:t xml:space="preserve">, Investments existing on, or contractually committed on, the Closing Date and listed on </w:t>
      </w:r>
      <w:r>
        <w:rPr>
          <w:rFonts w:ascii="Times New Roman" w:cs="Times New Roman" w:eastAsia="Times New Roman" w:hAnsi="Times New Roman"/>
          <w:sz w:val="18"/>
          <w:szCs w:val="18"/>
          <w:u w:val="single" w:color="auto"/>
          <w:color w:val="auto"/>
        </w:rPr>
        <w:t>Schedule 5.11(a)(v)</w:t>
      </w:r>
      <w:r>
        <w:rPr>
          <w:rFonts w:ascii="Times New Roman" w:cs="Times New Roman" w:eastAsia="Times New Roman" w:hAnsi="Times New Roman"/>
          <w:sz w:val="18"/>
          <w:szCs w:val="18"/>
          <w:color w:val="auto"/>
        </w:rPr>
        <w:t xml:space="preserve"> to the Disclosure Letter;</w:t>
      </w:r>
    </w:p>
    <w:p>
      <w:pPr>
        <w:spacing w:after="0" w:line="53"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cash and Cash Equivalents;</w:t>
      </w:r>
    </w:p>
    <w:p>
      <w:pPr>
        <w:spacing w:after="0" w:line="117" w:lineRule="exact"/>
        <w:rPr>
          <w:rFonts w:ascii="Times New Roman" w:cs="Times New Roman" w:eastAsia="Times New Roman" w:hAnsi="Times New Roman"/>
          <w:sz w:val="18"/>
          <w:szCs w:val="18"/>
          <w:color w:val="auto"/>
        </w:rPr>
      </w:pPr>
    </w:p>
    <w:p>
      <w:pPr>
        <w:jc w:val="both"/>
        <w:ind w:left="4" w:right="120" w:firstLine="436"/>
        <w:spacing w:after="0" w:line="270" w:lineRule="auto"/>
        <w:tabs>
          <w:tab w:leader="none" w:pos="689"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Investments consisting of (i) travel advances and employee relocation loans and other employee loans and advances in the ordinary course of business, (ii) loans to employees, officers or directors relating to the purchase of Equity Interests of the Company pursuant to employee stock purchase plans or agreements approved by the Board of the Company, (iii) advances in connection with indemnification agreements in the ordinary course of business and (iv) non-cash loans to employees, officers or directors relating to the purchase of Equity Interests of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described in prongs (i) and (ii) of this clause (c) shall be in an amount not to exceed $2,000,000 in any fiscal year of the Company and</w:t>
      </w:r>
    </w:p>
    <w:p>
      <w:pPr>
        <w:spacing w:after="0" w:line="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Investments described in this clause (c) may be made to Patrick Soon-Shiong or any Immediate Family Member of Patrick Soon-Shiong;</w:t>
      </w:r>
    </w:p>
    <w:p>
      <w:pPr>
        <w:spacing w:after="0" w:line="98" w:lineRule="exact"/>
        <w:rPr>
          <w:rFonts w:ascii="Times New Roman" w:cs="Times New Roman" w:eastAsia="Times New Roman" w:hAnsi="Times New Roman"/>
          <w:sz w:val="18"/>
          <w:szCs w:val="18"/>
          <w:color w:val="auto"/>
        </w:rPr>
      </w:pPr>
    </w:p>
    <w:p>
      <w:pPr>
        <w:ind w:left="4" w:right="600" w:firstLine="436"/>
        <w:spacing w:after="0" w:line="282" w:lineRule="auto"/>
        <w:tabs>
          <w:tab w:leader="none" w:pos="69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4"/>
          </w:cols>
          <w:pgMar w:left="436" w:top="270" w:right="479" w:bottom="1440" w:gutter="0" w:footer="0" w:header="0"/>
        </w:sectPr>
      </w:pPr>
    </w:p>
    <w:bookmarkStart w:id="42" w:name="page43"/>
    <w:bookmarkEnd w:id="42"/>
    <w:p>
      <w:pPr>
        <w:ind w:right="260" w:firstLine="436"/>
        <w:spacing w:after="0" w:line="282" w:lineRule="auto"/>
        <w:tabs>
          <w:tab w:leader="none" w:pos="6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Investments consisting of accounts receivable of, notes receivable of, or prepaid royalties and other credit extensions (including trade credit and prepayment of expenses), to customers and suppliers who are not Affiliates, in the ordinary course of business;</w:t>
      </w:r>
    </w:p>
    <w:p>
      <w:pPr>
        <w:spacing w:after="0" w:line="53" w:lineRule="exact"/>
        <w:rPr>
          <w:rFonts w:ascii="Times New Roman" w:cs="Times New Roman" w:eastAsia="Times New Roman" w:hAnsi="Times New Roman"/>
          <w:sz w:val="18"/>
          <w:szCs w:val="18"/>
          <w:color w:val="auto"/>
        </w:rPr>
      </w:pPr>
    </w:p>
    <w:p>
      <w:pPr>
        <w:ind w:firstLine="436"/>
        <w:spacing w:after="0" w:line="258" w:lineRule="auto"/>
        <w:tabs>
          <w:tab w:leader="none" w:pos="66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 in the Company and the Full Guarantors; (ii) by Limited Guarantors and Subsidiaries that are not Obligors, in Limited Guarantors; (iii) by Subsidiaries that are not Obligors in other such Subsidiaries; (iv) by the Company and the Full Guarantors in Limited Guarantors in an aggregate amount at any time outstanding not to exceed (x) prior to the Milestone, $5,000,000 and (y) from and after the occurrence of the Milestone, $10,000,000; (v) in VivaBioCell, S.p.A. in an aggregate amount not to exceed $5,000,000 per calendar year; and (vi) by any Obligor in any Subsidiary that is not an Obligor (other than VivaBioCell, S.p.A.) in an aggregate amount not to exceed $1,000,000 per calendar year;</w:t>
      </w:r>
    </w:p>
    <w:p>
      <w:pPr>
        <w:spacing w:after="0" w:line="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Acquisitions;</w:t>
      </w:r>
    </w:p>
    <w:p>
      <w:pPr>
        <w:spacing w:after="0" w:line="117" w:lineRule="exact"/>
        <w:rPr>
          <w:rFonts w:ascii="Times New Roman" w:cs="Times New Roman" w:eastAsia="Times New Roman" w:hAnsi="Times New Roman"/>
          <w:sz w:val="18"/>
          <w:szCs w:val="18"/>
          <w:color w:val="auto"/>
        </w:rPr>
      </w:pPr>
    </w:p>
    <w:p>
      <w:pPr>
        <w:ind w:right="740" w:firstLine="436"/>
        <w:spacing w:after="0" w:line="282" w:lineRule="auto"/>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held by any Person acquired in any Permitted Acquisition at the time of such Permitted Acquisition (and not acquired in contemplation of the Permitted Acquisition);</w:t>
      </w:r>
    </w:p>
    <w:p>
      <w:pPr>
        <w:spacing w:after="0" w:line="53" w:lineRule="exact"/>
        <w:rPr>
          <w:rFonts w:ascii="Times New Roman" w:cs="Times New Roman" w:eastAsia="Times New Roman" w:hAnsi="Times New Roman"/>
          <w:sz w:val="18"/>
          <w:szCs w:val="18"/>
          <w:color w:val="auto"/>
        </w:rPr>
      </w:pPr>
    </w:p>
    <w:p>
      <w:pPr>
        <w:ind w:firstLine="436"/>
        <w:spacing w:after="0" w:line="266"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obligations of any Subsidiary of the Company incurred in the ordinary course of business and not constituting Indebtedness in an aggregate amount at any time outstanding not to exceed (I) prior to the Milestone, $2,500,000 and (II) from and after the occurrence of the Milestone, $5,000,000;</w:t>
      </w:r>
    </w:p>
    <w:p>
      <w:pPr>
        <w:spacing w:after="0" w:line="67"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ordinary course of business consisting of endorsements for collection;</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hedging agreements not entered into for speculative purposes;</w:t>
      </w:r>
    </w:p>
    <w:p>
      <w:pPr>
        <w:spacing w:after="0" w:line="117" w:lineRule="exact"/>
        <w:rPr>
          <w:rFonts w:ascii="Times New Roman" w:cs="Times New Roman" w:eastAsia="Times New Roman" w:hAnsi="Times New Roman"/>
          <w:sz w:val="18"/>
          <w:szCs w:val="18"/>
          <w:color w:val="auto"/>
        </w:rPr>
      </w:pPr>
    </w:p>
    <w:p>
      <w:pPr>
        <w:ind w:right="240" w:firstLine="436"/>
        <w:spacing w:after="0" w:line="266"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(other than Acquisitions) to the extent that payment for such Investments is made solely with the proceeds of a substantially contemporaneous issuance of Equity Interests (other than Disqualified Equity Interests) of the Company and no Put Option Event has occurred and is continuing at the time of such Investment or would immediately result therefrom;</w:t>
      </w:r>
    </w:p>
    <w:p>
      <w:pPr>
        <w:spacing w:after="0" w:line="67" w:lineRule="exact"/>
        <w:rPr>
          <w:rFonts w:ascii="Times New Roman" w:cs="Times New Roman" w:eastAsia="Times New Roman" w:hAnsi="Times New Roman"/>
          <w:sz w:val="18"/>
          <w:szCs w:val="18"/>
          <w:color w:val="auto"/>
        </w:rPr>
      </w:pPr>
    </w:p>
    <w:p>
      <w:pPr>
        <w:ind w:right="180" w:firstLine="436"/>
        <w:spacing w:after="0" w:line="258" w:lineRule="auto"/>
        <w:tabs>
          <w:tab w:leader="none" w:pos="74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joint ventures and similar arrangements to the extent such Investments are made with non-Affiliates (provided, for the avoidance of doubt, that the joint venture may itself constitute an Affiliate), in an arm’s length transaction and on terms that are no worse than those which could be obtained in an arm’s length transaction (as determined by the Board of the Company in good faith), and provided that the aggregate amount of all such Investments at any time outstanding does not exceed (i) prior to the Milestone, $2,500,000 and (ii) from and after the occurrence of the Milestone, $10,000,000;</w:t>
      </w:r>
    </w:p>
    <w:p>
      <w:pPr>
        <w:spacing w:after="0" w:line="75"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purchase of any Permitted Bond Hedging Agreement in connection with the issuance of Permitted Convertible Notes;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with respect to this clause (i), the aggregate purchase price for such Permitted Bond Hedging Agreement, net of any proceeds relating to any concurrent sale or termination of any Permitted Bond Hedging Agreement, in respect of any Permitted Convertible Notes does not exceed 15% of the gross cash proceeds from such issuance of Permitted Convertible Notes and (ii) the acquisition of Equity Interests of the Company in connection with the exercise, settlement or performance of any Permitted Bond Hedging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with respect to this clause (ii), no additional cash payments are made upon such exercise or settlement (other than cash in lieu of fractional shares);</w:t>
      </w:r>
    </w:p>
    <w:p>
      <w:pPr>
        <w:spacing w:after="0" w:line="79" w:lineRule="exact"/>
        <w:rPr>
          <w:rFonts w:ascii="Times New Roman" w:cs="Times New Roman" w:eastAsia="Times New Roman" w:hAnsi="Times New Roman"/>
          <w:sz w:val="18"/>
          <w:szCs w:val="18"/>
          <w:color w:val="auto"/>
        </w:rPr>
      </w:pPr>
    </w:p>
    <w:p>
      <w:pPr>
        <w:ind w:right="160" w:firstLine="436"/>
        <w:spacing w:after="0" w:line="282" w:lineRule="auto"/>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Investments in an aggregate amount not to exceed at any time outstanding (x) prior to the Milestone, $2,500,000 and (y) from and after the occurrence of the Milestone, $10,000,000.</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43" w:name="page44"/>
    <w:bookmarkEnd w:id="43"/>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Permitted Licenses</w:t>
      </w:r>
      <w:r>
        <w:rPr>
          <w:rFonts w:ascii="Times New Roman" w:cs="Times New Roman" w:eastAsia="Times New Roman" w:hAnsi="Times New Roman"/>
          <w:sz w:val="18"/>
          <w:szCs w:val="18"/>
          <w:color w:val="auto"/>
        </w:rPr>
        <w:t xml:space="preserve">” means (a) any Out-License with a non-Affiliate for the Development, Manufacture and/or Commercialization of (x) an Included Product (other than Anktiva for the treatment of bladder cancer) within the United States and (y) an Included Product exclusively outside of the United States;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(i) such Out-License is not a Restricted License and constitutes an arms-length transaction, the terms of which, on their face, do not provide for a sale or assignment of any Intellectual Property, and (ii) all upfront payments, royalties, milestone payments or other proceeds arising from such Out-License that are payable to any Obligor or Affiliate are paid to a deposit account that is subject to a Control Agreement or in which Purchaser Agent otherwise has a first-priority perfected security interest on terms and pursuant to documentation satisfactory to Purchaser Agent in its sole discretion; (b) any license granted to any Third Party non-Affiliate for the Manufacture of any Included Product or otherwise granted to a vendor or service provider in order to provide services for the benefit of the Obligors or their Affiliates but granting no rights to sell, offer to sell or otherwise Commercialize any Included Product; (c) intercompany non-exclusive licenses or grants of rights for Development, Manufacture, production, Commercialization (including commercial sales to end users), marketing, sale, research, co-promotion, or distribution among the Obligors and their Subsidiaries; (d) non-exclusive research licenses and other licenses for the use of the property of the Obligors or their Subsidiaries in the ordinary course of business but in each case granting no rights to sell, offer to sell or otherwise Commercialize any Included Product; (e) any Out-License existing on the Closing Date which is shown on </w:t>
      </w:r>
      <w:r>
        <w:rPr>
          <w:rFonts w:ascii="Times New Roman" w:cs="Times New Roman" w:eastAsia="Times New Roman" w:hAnsi="Times New Roman"/>
          <w:sz w:val="18"/>
          <w:szCs w:val="18"/>
          <w:u w:val="single" w:color="auto"/>
          <w:color w:val="auto"/>
        </w:rPr>
        <w:t>Schedule 5.11(a)(xi)</w:t>
      </w:r>
      <w:r>
        <w:rPr>
          <w:rFonts w:ascii="Times New Roman" w:cs="Times New Roman" w:eastAsia="Times New Roman" w:hAnsi="Times New Roman"/>
          <w:sz w:val="18"/>
          <w:szCs w:val="18"/>
          <w:color w:val="auto"/>
        </w:rPr>
        <w:t xml:space="preserve"> to the Disclosure Letter; and (f) any other licenses or similar agreements with Third Parties that do not constitute Out-Licenses.</w:t>
      </w:r>
    </w:p>
    <w:p>
      <w:pPr>
        <w:spacing w:after="0" w:line="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right="480" w:firstLine="436"/>
        <w:spacing w:after="0" w:line="282" w:lineRule="auto"/>
        <w:tabs>
          <w:tab w:leader="none" w:pos="6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the Purchaser Agent and/or the Purchasers created by or otherwise existing under or in connection with the Transaction Documents;</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in existence as of the date hereof and set forth on </w:t>
      </w:r>
      <w:r>
        <w:rPr>
          <w:rFonts w:ascii="Times New Roman" w:cs="Times New Roman" w:eastAsia="Times New Roman" w:hAnsi="Times New Roman"/>
          <w:sz w:val="18"/>
          <w:szCs w:val="18"/>
          <w:u w:val="single" w:color="auto"/>
          <w:color w:val="auto"/>
        </w:rPr>
        <w:t>Schedule 5.11(a)(iv)</w:t>
      </w:r>
      <w:r>
        <w:rPr>
          <w:rFonts w:ascii="Times New Roman" w:cs="Times New Roman" w:eastAsia="Times New Roman" w:hAnsi="Times New Roman"/>
          <w:sz w:val="18"/>
          <w:szCs w:val="18"/>
          <w:color w:val="auto"/>
        </w:rPr>
        <w:t xml:space="preserve"> to the Disclosure Letter;</w:t>
      </w:r>
    </w:p>
    <w:p>
      <w:pPr>
        <w:spacing w:after="0" w:line="117" w:lineRule="exact"/>
        <w:rPr>
          <w:rFonts w:ascii="Times New Roman" w:cs="Times New Roman" w:eastAsia="Times New Roman" w:hAnsi="Times New Roman"/>
          <w:sz w:val="18"/>
          <w:szCs w:val="18"/>
          <w:color w:val="auto"/>
        </w:rPr>
      </w:pPr>
    </w:p>
    <w:p>
      <w:pPr>
        <w:ind w:right="80" w:firstLine="436"/>
        <w:spacing w:after="0" w:line="282" w:lineRule="auto"/>
        <w:tabs>
          <w:tab w:leader="none" w:pos="6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provisions of law of landlords, carriers, warehousemen, bailees, mechanics and materialmen incurred in the ordinary course of business for sums that (i) are not yet delinquent, or (ii) are being contested in good faith by appropriate proceedings;</w:t>
      </w:r>
    </w:p>
    <w:p>
      <w:pPr>
        <w:spacing w:after="0" w:line="53" w:lineRule="exact"/>
        <w:rPr>
          <w:rFonts w:ascii="Times New Roman" w:cs="Times New Roman" w:eastAsia="Times New Roman" w:hAnsi="Times New Roman"/>
          <w:sz w:val="18"/>
          <w:szCs w:val="18"/>
          <w:color w:val="auto"/>
        </w:rPr>
      </w:pPr>
    </w:p>
    <w:p>
      <w:pPr>
        <w:ind w:right="40" w:firstLine="436"/>
        <w:spacing w:after="0" w:line="261" w:lineRule="auto"/>
        <w:tabs>
          <w:tab w:leader="none" w:pos="6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(other than those imposed by ERISA) incurred in the ordinary course of business in connection with worker’s compensation, unemployment insurance or other forms of governmental insurance or benefits, insurance, surety bonds, or other obligations of a like nature or to secure the performance of letters of credit, banker’s acceptances, bids, tenders, statutory obligations, leases and contracts (other than for borrowed money) entered into in the ordinary course of business;</w:t>
      </w:r>
    </w:p>
    <w:p>
      <w:pPr>
        <w:spacing w:after="0" w:line="71" w:lineRule="exact"/>
        <w:rPr>
          <w:rFonts w:ascii="Times New Roman" w:cs="Times New Roman" w:eastAsia="Times New Roman" w:hAnsi="Times New Roman"/>
          <w:sz w:val="18"/>
          <w:szCs w:val="18"/>
          <w:color w:val="auto"/>
        </w:rPr>
      </w:pPr>
    </w:p>
    <w:p>
      <w:pPr>
        <w:ind w:right="140" w:firstLine="436"/>
        <w:spacing w:after="0" w:line="282" w:lineRule="auto"/>
        <w:tabs>
          <w:tab w:leader="none" w:pos="6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that are not delinquent or remain payable without any penalty or that are being contested in good faith and with due diligence by appropriate proceedings and for which adequate reserves have been established in accordance with GAAP;</w:t>
      </w:r>
    </w:p>
    <w:p>
      <w:pPr>
        <w:spacing w:after="0" w:line="53" w:lineRule="exact"/>
        <w:rPr>
          <w:rFonts w:ascii="Times New Roman" w:cs="Times New Roman" w:eastAsia="Times New Roman" w:hAnsi="Times New Roman"/>
          <w:sz w:val="18"/>
          <w:szCs w:val="18"/>
          <w:color w:val="auto"/>
        </w:rPr>
      </w:pPr>
    </w:p>
    <w:p>
      <w:pPr>
        <w:ind w:right="240" w:firstLine="436"/>
        <w:spacing w:after="0" w:line="256" w:lineRule="auto"/>
        <w:tabs>
          <w:tab w:leader="none" w:pos="66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banker’s Liens for collection or rights of set off or similar rights and remedies as to deposit accounts or other funds maintained with depositary institutions; provided that such deposit accounts or funds are not established or deposited for the purpose of providing collateral for any Indebtedness and are not subject to restrictions on access by the Company or any Subsidiary in excess of those required by applicable banking regulations; (ii) customary Liens incurred in the ordinary course of business to secure obligations in respect of payment processing services, netting services, overdrafts and similar obligations arising from treasury, depositary and cash management services; and (iii) contractual Liens in favor of the applicable depository bank solely to the extent the applicable deposit account is an Excluded Account or subject to a valid Control Agreement;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44" w:name="page45"/>
    <w:bookmarkEnd w:id="44"/>
    <w:p>
      <w:pPr>
        <w:ind w:left="4" w:right="640" w:firstLine="436"/>
        <w:spacing w:after="0" w:line="282" w:lineRule="auto"/>
        <w:tabs>
          <w:tab w:leader="none" w:pos="69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on insurance policies, premiums and proceeds thereof, or other deposits, to secure insurance premium financings with respect to unearned premiums and other liabilities to insurance carriers;</w:t>
      </w:r>
    </w:p>
    <w:p>
      <w:pPr>
        <w:spacing w:after="0" w:line="53" w:lineRule="exact"/>
        <w:rPr>
          <w:rFonts w:ascii="Times New Roman" w:cs="Times New Roman" w:eastAsia="Times New Roman" w:hAnsi="Times New Roman"/>
          <w:sz w:val="18"/>
          <w:szCs w:val="18"/>
          <w:color w:val="auto"/>
        </w:rPr>
      </w:pPr>
    </w:p>
    <w:p>
      <w:pPr>
        <w:ind w:left="4" w:firstLine="436"/>
        <w:spacing w:after="0" w:line="258" w:lineRule="auto"/>
        <w:tabs>
          <w:tab w:leader="none" w:pos="69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permitted under clause (l) of the definition of Permitted Indebtedness;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 such Liens exist prior to the acquisition of, or attach substantially simultaneous with, or within ninety (90) days after the, acquisition, lease, repair, improvement or construction of, such property financed or leased by such Indebtedness and (ii) such Liens do not extend to any property of the Company or any Subsidiary other than the property (and any improvements, accessions, proceeds, dividends, or distributions, in respect thereof) acquired, leased or built, or the improvements or repairs, financed by such Indebtedness;</w:t>
      </w:r>
    </w:p>
    <w:p>
      <w:pPr>
        <w:spacing w:after="0" w:line="75" w:lineRule="exact"/>
        <w:rPr>
          <w:rFonts w:ascii="Times New Roman" w:cs="Times New Roman" w:eastAsia="Times New Roman" w:hAnsi="Times New Roman"/>
          <w:sz w:val="18"/>
          <w:szCs w:val="18"/>
          <w:color w:val="auto"/>
        </w:rPr>
      </w:pPr>
    </w:p>
    <w:p>
      <w:pPr>
        <w:ind w:left="4" w:right="340" w:firstLine="436"/>
        <w:spacing w:after="0" w:line="266" w:lineRule="auto"/>
        <w:tabs>
          <w:tab w:leader="none" w:pos="65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specific items of inventory or other goods (and the proceeds thereof) of the Company or any Subsidiary securing such Person’s obligations in respect of bankers’ acceptances issued or created for the account of such Person to facilitate the purchase, shipment or storage of such inventory or other goods;</w:t>
      </w:r>
    </w:p>
    <w:p>
      <w:pPr>
        <w:spacing w:after="0" w:line="67" w:lineRule="exact"/>
        <w:rPr>
          <w:rFonts w:ascii="Times New Roman" w:cs="Times New Roman" w:eastAsia="Times New Roman" w:hAnsi="Times New Roman"/>
          <w:sz w:val="18"/>
          <w:szCs w:val="18"/>
          <w:color w:val="auto"/>
        </w:rPr>
      </w:pPr>
    </w:p>
    <w:p>
      <w:pPr>
        <w:ind w:left="4" w:right="440" w:firstLine="436"/>
        <w:spacing w:after="0" w:line="282" w:lineRule="auto"/>
        <w:tabs>
          <w:tab w:leader="none" w:pos="65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conditional sale, title retention, consignment or similar arrangements for the sale of goods entered into in the ordinary course of business;</w:t>
      </w:r>
    </w:p>
    <w:p>
      <w:pPr>
        <w:spacing w:after="0" w:line="53" w:lineRule="exact"/>
        <w:rPr>
          <w:rFonts w:ascii="Times New Roman" w:cs="Times New Roman" w:eastAsia="Times New Roman" w:hAnsi="Times New Roman"/>
          <w:sz w:val="18"/>
          <w:szCs w:val="18"/>
          <w:color w:val="auto"/>
        </w:rPr>
      </w:pPr>
    </w:p>
    <w:p>
      <w:pPr>
        <w:ind w:left="4" w:right="580" w:firstLine="436"/>
        <w:spacing w:after="0" w:line="282" w:lineRule="auto"/>
        <w:tabs>
          <w:tab w:leader="none" w:pos="69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 in the ordinary course of business;</w:t>
      </w:r>
    </w:p>
    <w:p>
      <w:pPr>
        <w:spacing w:after="0" w:line="53" w:lineRule="exact"/>
        <w:rPr>
          <w:rFonts w:ascii="Times New Roman" w:cs="Times New Roman" w:eastAsia="Times New Roman" w:hAnsi="Times New Roman"/>
          <w:sz w:val="18"/>
          <w:szCs w:val="18"/>
          <w:color w:val="auto"/>
        </w:rPr>
      </w:pPr>
    </w:p>
    <w:p>
      <w:pPr>
        <w:ind w:left="4" w:right="240" w:firstLine="436"/>
        <w:spacing w:after="0" w:line="261" w:lineRule="auto"/>
        <w:tabs>
          <w:tab w:leader="none" w:pos="65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Liens consisting of the interests of licensors and of licensees in respect of In-Licenses and Permitted Licenses, (ii) leases and subleases of property (other than Intellectual Property) granted to others that do not (x) interfere in any material respect with the business of the Company and its Subsidiaries, taken as a whole or (y) secure any Indebtedness, and (iii) any interest or title of a lessor under leases (other than leases constituting Indebtedness) entered into by any of the Company and/or its Subsidiaries in the ordinary course of business;</w:t>
      </w:r>
    </w:p>
    <w:p>
      <w:pPr>
        <w:spacing w:after="0" w:line="71" w:lineRule="exact"/>
        <w:rPr>
          <w:rFonts w:ascii="Times New Roman" w:cs="Times New Roman" w:eastAsia="Times New Roman" w:hAnsi="Times New Roman"/>
          <w:sz w:val="18"/>
          <w:szCs w:val="18"/>
          <w:color w:val="auto"/>
        </w:rPr>
      </w:pPr>
    </w:p>
    <w:p>
      <w:pPr>
        <w:jc w:val="both"/>
        <w:ind w:left="4" w:right="100" w:firstLine="436"/>
        <w:spacing w:after="0" w:line="261" w:lineRule="auto"/>
        <w:tabs>
          <w:tab w:leader="none" w:pos="74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deposits or other amounts held in escrow to secure payments (contingent or otherwise) payable by the Company or any Subsidiary with respect to (i) the settlement, satisfaction, compromise or resolution or judgments, litigation, arbitration or other disputes and (ii) any commercial contracts for manufacturing, production and other service arrangements entered into in the ordinary course of business or other obligations in respect of any Permitted Acquisition or Transfer expressly permitted hereunder;</w:t>
      </w:r>
    </w:p>
    <w:p>
      <w:pPr>
        <w:spacing w:after="0" w:line="71" w:lineRule="exact"/>
        <w:rPr>
          <w:rFonts w:ascii="Times New Roman" w:cs="Times New Roman" w:eastAsia="Times New Roman" w:hAnsi="Times New Roman"/>
          <w:sz w:val="18"/>
          <w:szCs w:val="18"/>
          <w:color w:val="auto"/>
        </w:rPr>
      </w:pPr>
    </w:p>
    <w:p>
      <w:pPr>
        <w:ind w:left="4" w:right="200" w:firstLine="436"/>
        <w:spacing w:after="0" w:line="257" w:lineRule="auto"/>
        <w:tabs>
          <w:tab w:leader="none" w:pos="69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cash deposits securing (i) Indebtedness permitted pursuant to clause (i) of the definition of “Permitted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such cash deposits in respect of any letter of credit does not exceed 105% of the face amount thereof with respect to any U.S. dollar denominated letters of credit and 110% of the face amount thereof with respect to any letter of credit denominated in a foreign currency and</w:t>
      </w:r>
    </w:p>
    <w:p>
      <w:pPr>
        <w:spacing w:after="0" w:line="1" w:lineRule="exact"/>
        <w:rPr>
          <w:rFonts w:ascii="Times New Roman" w:cs="Times New Roman" w:eastAsia="Times New Roman" w:hAnsi="Times New Roman"/>
          <w:sz w:val="18"/>
          <w:szCs w:val="18"/>
          <w:color w:val="auto"/>
        </w:rPr>
      </w:pPr>
    </w:p>
    <w:p>
      <w:pPr>
        <w:ind w:left="4" w:right="220" w:hanging="4"/>
        <w:spacing w:after="0" w:line="260" w:lineRule="auto"/>
        <w:tabs>
          <w:tab w:leader="none" w:pos="26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permitted pursuant to clause (k) of the definition of “Permitted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such cash deposits do not exceed (I) prior to the Milestone, $2,500,000 and (II) from and after the occurrence of the Milestone, $10,000,000;</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4"/>
          </w:cols>
          <w:pgMar w:left="436" w:top="270" w:right="459" w:bottom="1440" w:gutter="0" w:footer="0" w:header="0"/>
        </w:sectPr>
      </w:pPr>
    </w:p>
    <w:bookmarkStart w:id="45" w:name="page46"/>
    <w:bookmarkEnd w:id="45"/>
    <w:p>
      <w:pPr>
        <w:ind w:firstLine="436"/>
        <w:spacing w:after="0" w:line="253" w:lineRule="auto"/>
        <w:tabs>
          <w:tab w:leader="none" w:pos="6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Lien existing on any property or asset prior to the acquisition thereof by the Company or any of its Subsidiaries or existing on any property or asset of any Person that is merged or consolidated with or into the Company or any of its Subsidiaries or becomes a Subsidiary after the Closing Date prior to the time such Person is so merged or consolidated or becomes a Subsidiary; provided that (i) such Lien is not created in contemplation of or in connection with such acquisition or such Person becoming a Subsidiary, as the case may be; (ii) such Lien shall not apply to any other property or assets of the Company or any of its Subsidiaries (other than improvements, accessions, proceeds, dividends or distributions in respect thereof and assets fixed or appurtenant thereto); and (iii) such Lien shall secure only those obligations which it secures on the date of such acquisition or the date such Person becomes a Subsidiary, as the case may be, and any modifications, refinancings, refundings, replacements, exchanges, renewals, extensions, and/or restatements of such Indebtedness so long as (x) the principal amount (or accreted value, if applicable) thereof does not exceed the principal amount (or accreted value, if applicable) of the Indebtedness so modified, refinanced, refunded, replaced, exchanged, renewed, extended or restated, except by an amount equal to unpaid accrued interest and/or premiums thereon plus other reasonable amounts paid, and fees and expenses reasonably incurred, in connection with such modification, refinancing, replacements, exchange, renewal, extension, or restatement thereon and (y) the terms thereof (including, without limitation, interest rates, fees, payment terms and covenants) are in no way more onerous or restrictive than the terms of the Indebtedness so modified, refinanced, refunded, replaced, exchanged, renewed, extended or restated;</w:t>
      </w:r>
    </w:p>
    <w:p>
      <w:pPr>
        <w:spacing w:after="0" w:line="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Equity Interests in a joint venture imposed pursuant to the operative documents governing such joint venture;</w:t>
      </w:r>
    </w:p>
    <w:p>
      <w:pPr>
        <w:spacing w:after="0" w:line="117" w:lineRule="exact"/>
        <w:rPr>
          <w:rFonts w:ascii="Times New Roman" w:cs="Times New Roman" w:eastAsia="Times New Roman" w:hAnsi="Times New Roman"/>
          <w:sz w:val="18"/>
          <w:szCs w:val="18"/>
          <w:color w:val="auto"/>
        </w:rPr>
      </w:pPr>
    </w:p>
    <w:p>
      <w:pPr>
        <w:ind w:right="120" w:firstLine="436"/>
        <w:spacing w:after="0" w:line="266" w:lineRule="auto"/>
        <w:tabs>
          <w:tab w:leader="none" w:pos="6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a seller solely on any cash earnest money deposits made by the Company or any of its Subsidiaries in connection with any letter of intent or purchase agreement with respect to any Permitted Acquisition or other Permitted Investment; provided that the obligations secured by such Liens do not exceed (I) prior to the Milestone, $2,000,000 and (II) from and after the occurrence of the Milestone, $4,000,000;</w:t>
      </w:r>
    </w:p>
    <w:p>
      <w:pPr>
        <w:spacing w:after="0" w:line="67"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a collection bank arising under Section 4-208 or Section 4-210 of the UCC on items in the course of collection;</w:t>
      </w:r>
    </w:p>
    <w:p>
      <w:pPr>
        <w:spacing w:after="0" w:line="117" w:lineRule="exact"/>
        <w:rPr>
          <w:rFonts w:ascii="Times New Roman" w:cs="Times New Roman" w:eastAsia="Times New Roman" w:hAnsi="Times New Roman"/>
          <w:sz w:val="18"/>
          <w:szCs w:val="18"/>
          <w:color w:val="auto"/>
        </w:rPr>
      </w:pPr>
    </w:p>
    <w:p>
      <w:pPr>
        <w:ind w:right="120" w:firstLine="436"/>
        <w:spacing w:after="0" w:line="282" w:lineRule="auto"/>
        <w:tabs>
          <w:tab w:leader="none" w:pos="6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precautionary UCC filings in connection with leases not constituting Indebtedness or bailee arrangements, in each case, in the ordinary course of business;</w:t>
      </w:r>
    </w:p>
    <w:p>
      <w:pPr>
        <w:spacing w:after="0" w:line="53" w:lineRule="exact"/>
        <w:rPr>
          <w:rFonts w:ascii="Times New Roman" w:cs="Times New Roman" w:eastAsia="Times New Roman" w:hAnsi="Times New Roman"/>
          <w:sz w:val="18"/>
          <w:szCs w:val="18"/>
          <w:color w:val="auto"/>
        </w:rPr>
      </w:pPr>
    </w:p>
    <w:p>
      <w:pPr>
        <w:ind w:right="120" w:firstLine="436"/>
        <w:spacing w:after="0" w:line="255"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real property, servitudes, easements, rights-of-way, covenants, conditions, restrictions (including zoning and building restrictions) or other restrictions imposed by any applicable Law and other rights reserved to or vested in any Governmental Authority, encroachments, protrusions and other similar charges, encumbrances and title defects affecting real property, or such defects or encroachments as might be revealed by an up-to-date survey of such real property, that, in the aggregate, do not in any case materially interfere with the ordinary conduct of the business of the Company and its respective Subsidiaries taken as a whole, or the use of the property for its intended purpose, and any other exceptions to title on the mortgage policies accepted by the Purchase Agent, in its reasonable discretion, in accordance with this Agreement; deposits incurred in the ordinary course of business to secure the performance of leases (other than Indebtedness) or as security for the payment of rent;</w:t>
      </w:r>
    </w:p>
    <w:p>
      <w:pPr>
        <w:spacing w:after="0" w:line="80" w:lineRule="exact"/>
        <w:rPr>
          <w:rFonts w:ascii="Times New Roman" w:cs="Times New Roman" w:eastAsia="Times New Roman" w:hAnsi="Times New Roman"/>
          <w:sz w:val="18"/>
          <w:szCs w:val="18"/>
          <w:color w:val="auto"/>
        </w:rPr>
      </w:pPr>
    </w:p>
    <w:p>
      <w:pPr>
        <w:ind w:right="20" w:firstLine="436"/>
        <w:spacing w:after="0" w:line="282" w:lineRule="auto"/>
        <w:tabs>
          <w:tab w:leader="none" w:pos="6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non-consensual restrictions on the transfer or pledge of assets imposed by any Governmental Authority or comparable state or local legislation, regulations or ordinances or otherwise imposed by Applicable Law;</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attachments or judgments, orders, or decrees in circumstances not constituting a Put Option Event;</w:t>
      </w:r>
    </w:p>
    <w:p>
      <w:pPr>
        <w:spacing w:after="0" w:line="117" w:lineRule="exact"/>
        <w:rPr>
          <w:rFonts w:ascii="Times New Roman" w:cs="Times New Roman" w:eastAsia="Times New Roman" w:hAnsi="Times New Roman"/>
          <w:sz w:val="18"/>
          <w:szCs w:val="18"/>
          <w:color w:val="auto"/>
        </w:rPr>
      </w:pPr>
    </w:p>
    <w:p>
      <w:pPr>
        <w:ind w:right="300" w:firstLine="436"/>
        <w:spacing w:after="0" w:line="282" w:lineRule="auto"/>
        <w:tabs>
          <w:tab w:leader="none" w:pos="7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in an amount not to exceed $2,500,000 at any time securing “hedging agreements” permitted under clause (m) of “Permitted Indebtedness”;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0"/>
          </w:cols>
          <w:pgMar w:left="440" w:top="270" w:right="439" w:bottom="1440" w:gutter="0" w:footer="0" w:header="0"/>
        </w:sectPr>
      </w:pPr>
    </w:p>
    <w:bookmarkStart w:id="46" w:name="page47"/>
    <w:bookmarkEnd w:id="46"/>
    <w:p>
      <w:pPr>
        <w:ind w:right="80" w:firstLine="436"/>
        <w:spacing w:after="0" w:line="266" w:lineRule="auto"/>
        <w:tabs>
          <w:tab w:leader="none" w:pos="6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Liens incurred by the Company and/or its Subsidiaries so long as (i) such Liens do not secure Indebtedness and (ii) at the time of incurrence of the obligations secured thereby the aggregate outstanding principal amount of obligations secured thereby does not exceed (x) prior to the Milestone, $5,000,000 and (y) from and after the occurrence of the Milestone, $10,000,000; and</w:t>
      </w:r>
    </w:p>
    <w:p>
      <w:pPr>
        <w:spacing w:after="0" w:line="67" w:lineRule="exact"/>
        <w:rPr>
          <w:rFonts w:ascii="Times New Roman" w:cs="Times New Roman" w:eastAsia="Times New Roman" w:hAnsi="Times New Roman"/>
          <w:sz w:val="18"/>
          <w:szCs w:val="18"/>
          <w:color w:val="auto"/>
        </w:rPr>
      </w:pPr>
    </w:p>
    <w:p>
      <w:pPr>
        <w:ind w:right="120" w:firstLine="436"/>
        <w:spacing w:after="0" w:line="282" w:lineRule="auto"/>
        <w:tabs>
          <w:tab w:leader="none" w:pos="6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on the underlying fee interest in real property leased, subleased or licensed by the Company and/or its Subsidiaries (other than any such Liens incurred or caused by the Company and/or its Subsidiaries).</w:t>
      </w:r>
    </w:p>
    <w:p>
      <w:pPr>
        <w:spacing w:after="0" w:line="54"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Priority Liens</w:t>
      </w:r>
      <w:r>
        <w:rPr>
          <w:rFonts w:ascii="Times New Roman" w:cs="Times New Roman" w:eastAsia="Times New Roman" w:hAnsi="Times New Roman"/>
          <w:sz w:val="18"/>
          <w:szCs w:val="18"/>
          <w:color w:val="auto"/>
        </w:rPr>
        <w:t>” means Permitted Liens identified in clauses (b), (c), (d),(e), (f), (g), (h), (i), (k), (m), (n), (o), (p), (q), (r), (t), (u), (v), (w) and (y) of the definition thereof.</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Purpose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partnership, limited liability company, association, trust or other entity or organization, but not including a government or political subdivision or any agency or instrumentality of such government or political subdivision.</w:t>
      </w:r>
    </w:p>
    <w:p>
      <w:pPr>
        <w:spacing w:after="0" w:line="54"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PHSA</w:t>
      </w:r>
      <w:r>
        <w:rPr>
          <w:rFonts w:ascii="Times New Roman" w:cs="Times New Roman" w:eastAsia="Times New Roman" w:hAnsi="Times New Roman"/>
          <w:sz w:val="18"/>
          <w:szCs w:val="18"/>
          <w:color w:val="auto"/>
        </w:rPr>
        <w:t>” means the United States Public Health Service Act, as amended from time to time, together with any regulations promulgated thereunder (including all additions, supplements, extensions, and modifications thereto).</w:t>
      </w:r>
    </w:p>
    <w:p>
      <w:pPr>
        <w:spacing w:after="0" w:line="54"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benefit plan within the meaning of Section 3(3) of ERISA, maintained for employees of the Company or any of its Subsidiaries, or any such plan to which the Company or any of its Subsidiaries required to contribute on behalf of any of its employees or with respect to which the Company or such Subsidiary has any liability.</w:t>
      </w:r>
    </w:p>
    <w:p>
      <w:pPr>
        <w:spacing w:after="0" w:line="68"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Press Release</w:t>
      </w:r>
      <w:r>
        <w:rPr>
          <w:rFonts w:ascii="Times New Roman" w:cs="Times New Roman" w:eastAsia="Times New Roman" w:hAnsi="Times New Roman"/>
          <w:sz w:val="18"/>
          <w:szCs w:val="18"/>
          <w:color w:val="auto"/>
        </w:rPr>
        <w:t>” means a press release mutually agreed upon by the Obligors and Purchaser Agent in respect of the transactions contemplated by the Transaction Documents.</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Primary Product Assets</w:t>
      </w:r>
      <w:r>
        <w:rPr>
          <w:rFonts w:ascii="Times New Roman" w:cs="Times New Roman" w:eastAsia="Times New Roman" w:hAnsi="Times New Roman"/>
          <w:sz w:val="18"/>
          <w:szCs w:val="18"/>
          <w:color w:val="auto"/>
        </w:rPr>
        <w:t>” means any Product Assets necessary for the Development, Manufacturing and/or Commercialization of Anktiva.</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for any day, the per annum rate of interest in effect for such day quoted by the Wall Street Journal as the “prime rate”.</w:t>
      </w:r>
    </w:p>
    <w:p>
      <w:pPr>
        <w:spacing w:after="0" w:line="117" w:lineRule="exact"/>
        <w:rPr>
          <w:sz w:val="20"/>
          <w:szCs w:val="20"/>
          <w:color w:val="auto"/>
        </w:rPr>
      </w:pPr>
    </w:p>
    <w:p>
      <w:pPr>
        <w:ind w:right="32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 Rata Portion</w:t>
      </w:r>
      <w:r>
        <w:rPr>
          <w:rFonts w:ascii="Times New Roman" w:cs="Times New Roman" w:eastAsia="Times New Roman" w:hAnsi="Times New Roman"/>
          <w:sz w:val="17"/>
          <w:szCs w:val="17"/>
          <w:color w:val="auto"/>
        </w:rPr>
        <w:t>” means, with respect to any Purchaser, the sum of the unfunded Purchaser Commitment of such Purchaser and Purchaser Payments made by such Purchaser divided by the sum of all unfunded Purchaser Commitments and all Purchaser Payments made by the Purchasers.</w:t>
      </w:r>
    </w:p>
    <w:p>
      <w:pPr>
        <w:spacing w:after="0" w:line="3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 Assets</w:t>
      </w:r>
      <w:r>
        <w:rPr>
          <w:rFonts w:ascii="Times New Roman" w:cs="Times New Roman" w:eastAsia="Times New Roman" w:hAnsi="Times New Roman"/>
          <w:sz w:val="18"/>
          <w:szCs w:val="18"/>
          <w:color w:val="auto"/>
        </w:rPr>
        <w:t>” means (a) all Product Intellectual Property, (b) each Material Contract, (c) all Regulatory Approvals and (d) any other assets that are owned by, licensed to, or otherwise Controlled by the Company or any Subsidiary that are necessary for, or used or reasonably useful for, the Development, Commercialization, Manufacture, formulation, use, or sale of any Included Products.</w:t>
      </w:r>
    </w:p>
    <w:p>
      <w:pPr>
        <w:spacing w:after="0" w:line="68"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 Intellectual Property</w:t>
      </w:r>
      <w:r>
        <w:rPr>
          <w:rFonts w:ascii="Times New Roman" w:cs="Times New Roman" w:eastAsia="Times New Roman" w:hAnsi="Times New Roman"/>
          <w:sz w:val="18"/>
          <w:szCs w:val="18"/>
          <w:color w:val="auto"/>
        </w:rPr>
        <w:t xml:space="preserve">” means all Intellectual Property that is necessary, used for or material to the Development, Commercialization, and/or Manufacture, or other exploitation, of any Included Product that is owned, licensed or otherwise controlled by any Obligor as of the Closing Date or acquired by an Obligor thereafter, including, without limitation, the Patents identified in </w:t>
      </w:r>
      <w:r>
        <w:rPr>
          <w:rFonts w:ascii="Times New Roman" w:cs="Times New Roman" w:eastAsia="Times New Roman" w:hAnsi="Times New Roman"/>
          <w:sz w:val="18"/>
          <w:szCs w:val="18"/>
          <w:u w:val="single" w:color="auto"/>
          <w:color w:val="auto"/>
        </w:rPr>
        <w:t>Schedule 3.12(a)</w:t>
      </w:r>
      <w:r>
        <w:rPr>
          <w:rFonts w:ascii="Times New Roman" w:cs="Times New Roman" w:eastAsia="Times New Roman" w:hAnsi="Times New Roman"/>
          <w:sz w:val="18"/>
          <w:szCs w:val="18"/>
          <w:color w:val="auto"/>
        </w:rPr>
        <w:t xml:space="preserve"> to the Disclosure Letter.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47" w:name="page48"/>
    <w:bookmarkEnd w:id="47"/>
    <w:p>
      <w:pPr>
        <w:ind w:left="440" w:right="38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Purchaser</w:t>
      </w:r>
      <w:r>
        <w:rPr>
          <w:rFonts w:ascii="Times New Roman" w:cs="Times New Roman" w:eastAsia="Times New Roman" w:hAnsi="Times New Roman"/>
          <w:sz w:val="17"/>
          <w:szCs w:val="17"/>
          <w:color w:val="auto"/>
        </w:rPr>
        <w:t>” has the meaning set forth in the first paragraph hereof. “</w:t>
      </w:r>
      <w:r>
        <w:rPr>
          <w:rFonts w:ascii="Times New Roman" w:cs="Times New Roman" w:eastAsia="Times New Roman" w:hAnsi="Times New Roman"/>
          <w:sz w:val="17"/>
          <w:szCs w:val="17"/>
          <w:u w:val="single" w:color="auto"/>
          <w:color w:val="auto"/>
        </w:rPr>
        <w:t>Purchaser Agent</w:t>
      </w:r>
      <w:r>
        <w:rPr>
          <w:rFonts w:ascii="Times New Roman" w:cs="Times New Roman" w:eastAsia="Times New Roman" w:hAnsi="Times New Roman"/>
          <w:sz w:val="17"/>
          <w:szCs w:val="17"/>
          <w:color w:val="auto"/>
        </w:rPr>
        <w:t>” has the meaning set forth in the first paragraph hereof. “</w:t>
      </w:r>
      <w:r>
        <w:rPr>
          <w:rFonts w:ascii="Times New Roman" w:cs="Times New Roman" w:eastAsia="Times New Roman" w:hAnsi="Times New Roman"/>
          <w:sz w:val="17"/>
          <w:szCs w:val="17"/>
          <w:u w:val="single" w:color="auto"/>
          <w:color w:val="auto"/>
        </w:rPr>
        <w:t>Purchaser Commitment</w:t>
      </w:r>
      <w:r>
        <w:rPr>
          <w:rFonts w:ascii="Times New Roman" w:cs="Times New Roman" w:eastAsia="Times New Roman" w:hAnsi="Times New Roman"/>
          <w:sz w:val="17"/>
          <w:szCs w:val="17"/>
          <w:color w:val="auto"/>
        </w:rPr>
        <w:t>” means, with respect to any Purchaser, the commitment of such Purchaser to purchase its Pro Rata Portion of the</w:t>
      </w:r>
    </w:p>
    <w:p>
      <w:pPr>
        <w:spacing w:after="0" w:line="1"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auto"/>
        </w:rPr>
        <w:t xml:space="preserve">Revenue Interests and pay the Purchaser Payments in an aggregate amount up to the amount set forth opposite such Purchaser’s name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1.01(b)</w:t>
      </w:r>
      <w:r>
        <w:rPr>
          <w:rFonts w:ascii="Times New Roman" w:cs="Times New Roman" w:eastAsia="Times New Roman" w:hAnsi="Times New Roman"/>
          <w:sz w:val="18"/>
          <w:szCs w:val="18"/>
          <w:color w:val="auto"/>
        </w:rPr>
        <w:t>.</w:t>
      </w:r>
    </w:p>
    <w:p>
      <w:pPr>
        <w:spacing w:after="0" w:line="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Payments</w:t>
      </w:r>
      <w:r>
        <w:rPr>
          <w:rFonts w:ascii="Times New Roman" w:cs="Times New Roman" w:eastAsia="Times New Roman" w:hAnsi="Times New Roman"/>
          <w:sz w:val="18"/>
          <w:szCs w:val="18"/>
          <w:color w:val="auto"/>
        </w:rPr>
        <w:t xml:space="preserve">” means each of the First Payment </w:t>
      </w:r>
      <w:r>
        <w:rPr>
          <w:rFonts w:ascii="Times New Roman" w:cs="Times New Roman" w:eastAsia="Times New Roman" w:hAnsi="Times New Roman"/>
          <w:sz w:val="18"/>
          <w:szCs w:val="18"/>
          <w:color w:val="FF0000"/>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the Second Payment </w:t>
      </w:r>
      <w:r>
        <w:rPr>
          <w:rFonts w:ascii="Times New Roman" w:cs="Times New Roman" w:eastAsia="Times New Roman" w:hAnsi="Times New Roman"/>
          <w:sz w:val="18"/>
          <w:szCs w:val="18"/>
          <w:color w:val="0000FF"/>
        </w:rPr>
        <w:t>and the Third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-59055</wp:posOffset>
            </wp:positionV>
            <wp:extent cx="1936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93675" cy="8890"/>
                    </a:xfrm>
                    <a:prstGeom prst="rect">
                      <a:avLst/>
                    </a:prstGeom>
                    <a:noFill/>
                  </pic:spPr>
                </pic:pic>
              </a:graphicData>
            </a:graphic>
          </wp:anchor>
        </w:drawing>
        <w:drawing>
          <wp:anchor simplePos="0" relativeHeight="251657728" behindDoc="1" locked="0" layoutInCell="0" allowOverlap="1">
            <wp:simplePos x="0" y="0"/>
            <wp:positionH relativeFrom="column">
              <wp:posOffset>3014980</wp:posOffset>
            </wp:positionH>
            <wp:positionV relativeFrom="paragraph">
              <wp:posOffset>26035</wp:posOffset>
            </wp:positionV>
            <wp:extent cx="254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4000500</wp:posOffset>
            </wp:positionH>
            <wp:positionV relativeFrom="paragraph">
              <wp:posOffset>26035</wp:posOffset>
            </wp:positionV>
            <wp:extent cx="11055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05535" cy="8890"/>
                    </a:xfrm>
                    <a:prstGeom prst="rect">
                      <a:avLst/>
                    </a:prstGeom>
                    <a:noFill/>
                  </pic:spPr>
                </pic:pic>
              </a:graphicData>
            </a:graphic>
          </wp:anchor>
        </w:drawing>
        <w:drawing>
          <wp:anchor simplePos="0" relativeHeight="251657728" behindDoc="1" locked="0" layoutInCell="0" allowOverlap="1">
            <wp:simplePos x="0" y="0"/>
            <wp:positionH relativeFrom="column">
              <wp:posOffset>4001770</wp:posOffset>
            </wp:positionH>
            <wp:positionV relativeFrom="paragraph">
              <wp:posOffset>-7620</wp:posOffset>
            </wp:positionV>
            <wp:extent cx="11010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01090" cy="8255"/>
                    </a:xfrm>
                    <a:prstGeom prst="rect">
                      <a:avLst/>
                    </a:prstGeom>
                    <a:noFill/>
                  </pic:spPr>
                </pic:pic>
              </a:graphicData>
            </a:graphic>
          </wp:anchor>
        </w:drawing>
      </w:r>
    </w:p>
    <w:p>
      <w:pPr>
        <w:spacing w:after="0" w:line="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“Put Notice” has the meaning set forth in </w:t>
      </w:r>
      <w:r>
        <w:rPr>
          <w:rFonts w:ascii="Times New Roman" w:cs="Times New Roman" w:eastAsia="Times New Roman" w:hAnsi="Times New Roman"/>
          <w:sz w:val="18"/>
          <w:szCs w:val="18"/>
          <w:u w:val="single" w:color="auto"/>
          <w:color w:val="auto"/>
        </w:rPr>
        <w:t>Section 5.07(a)</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Put Option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5.07(a)</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Put Option 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5.07(a)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Put Option Event</w:t>
      </w:r>
      <w:r>
        <w:rPr>
          <w:rFonts w:ascii="Times New Roman" w:cs="Times New Roman" w:eastAsia="Times New Roman" w:hAnsi="Times New Roman"/>
          <w:sz w:val="18"/>
          <w:szCs w:val="18"/>
          <w:color w:val="auto"/>
        </w:rPr>
        <w:t>” means any one of the following events:</w:t>
      </w:r>
    </w:p>
    <w:p>
      <w:pPr>
        <w:spacing w:after="0" w:line="117" w:lineRule="exact"/>
        <w:rPr>
          <w:sz w:val="20"/>
          <w:szCs w:val="20"/>
          <w:color w:val="auto"/>
        </w:rPr>
      </w:pPr>
    </w:p>
    <w:p>
      <w:pPr>
        <w:ind w:left="680" w:hanging="244"/>
        <w:spacing w:after="0"/>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of Control; and</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of Default, subject to any applicable grace periods set forth in the definition thereof.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Put/Call Price</w:t>
      </w:r>
      <w:r>
        <w:rPr>
          <w:rFonts w:ascii="Times New Roman" w:cs="Times New Roman" w:eastAsia="Times New Roman" w:hAnsi="Times New Roman"/>
          <w:sz w:val="18"/>
          <w:szCs w:val="18"/>
          <w:color w:val="auto"/>
        </w:rPr>
        <w:t>” means, as of any date of determination, the Put/Call Price shall be an amount equal to:</w:t>
      </w:r>
    </w:p>
    <w:p>
      <w:pPr>
        <w:spacing w:after="0" w:line="117" w:lineRule="exact"/>
        <w:rPr>
          <w:sz w:val="20"/>
          <w:szCs w:val="20"/>
          <w:color w:val="auto"/>
        </w:rPr>
      </w:pPr>
    </w:p>
    <w:p>
      <w:pPr>
        <w:ind w:right="120" w:firstLine="436"/>
        <w:spacing w:after="0" w:line="282" w:lineRule="auto"/>
        <w:tabs>
          <w:tab w:leader="none" w:pos="68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Purchasers exercise a Put Option, other than pursuant to clause (a) of the definition of “Put Option Event”, on or prior to the date that is twelve (12) months after the Closing Date, 120.0% of the Cumulative Purchaser Payments;</w:t>
      </w:r>
    </w:p>
    <w:p>
      <w:pPr>
        <w:spacing w:after="0" w:line="53" w:lineRule="exact"/>
        <w:rPr>
          <w:rFonts w:ascii="Times New Roman" w:cs="Times New Roman" w:eastAsia="Times New Roman" w:hAnsi="Times New Roman"/>
          <w:sz w:val="18"/>
          <w:szCs w:val="18"/>
          <w:color w:val="auto"/>
        </w:rPr>
      </w:pPr>
    </w:p>
    <w:p>
      <w:pPr>
        <w:ind w:right="240" w:firstLine="436"/>
        <w:spacing w:after="0" w:line="266" w:lineRule="auto"/>
        <w:tabs>
          <w:tab w:leader="none" w:pos="6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Purchasers exercise a Put Option pursuant to clause (a) of the definition of “Put Option Event” or if the Company exercises the Call Option in connection with a Change of Control, in each case on or prior to the date that is eighteen (18) months after the Closing Date, 135.0% of the Cumulative Purchaser Payments;</w:t>
      </w:r>
    </w:p>
    <w:p>
      <w:pPr>
        <w:spacing w:after="0" w:line="67" w:lineRule="exact"/>
        <w:rPr>
          <w:rFonts w:ascii="Times New Roman" w:cs="Times New Roman" w:eastAsia="Times New Roman" w:hAnsi="Times New Roman"/>
          <w:sz w:val="18"/>
          <w:szCs w:val="18"/>
          <w:color w:val="auto"/>
        </w:rPr>
      </w:pPr>
    </w:p>
    <w:p>
      <w:pPr>
        <w:ind w:firstLine="436"/>
        <w:spacing w:after="0" w:line="282" w:lineRule="auto"/>
        <w:tabs>
          <w:tab w:leader="none" w:pos="68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neither of clauses (a) or (b) applies, if the Put/Call Price is received in full by the Purchasers no later than the date that is thirty six (36) months after the Closing Date, 175.0% of the Cumulative Purchaser Payments; and</w:t>
      </w:r>
    </w:p>
    <w:p>
      <w:pPr>
        <w:spacing w:after="0" w:line="53" w:lineRule="exact"/>
        <w:rPr>
          <w:rFonts w:ascii="Times New Roman" w:cs="Times New Roman" w:eastAsia="Times New Roman" w:hAnsi="Times New Roman"/>
          <w:sz w:val="18"/>
          <w:szCs w:val="18"/>
          <w:color w:val="auto"/>
        </w:rPr>
      </w:pPr>
    </w:p>
    <w:p>
      <w:pPr>
        <w:ind w:right="300" w:firstLine="436"/>
        <w:spacing w:after="0" w:line="397" w:lineRule="auto"/>
        <w:tabs>
          <w:tab w:leader="none" w:pos="695"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the date that is thirty six (36) months after the Closing Date, an amount equal to 195.0% of the Cumulative Purchaser Payments; minus, in each case, the Total Revenue Interest Payments made on or prior to such date; provided that the Put/Call Price shall not be less than zero.</w:t>
      </w:r>
    </w:p>
    <w:p>
      <w:pPr>
        <w:spacing w:after="0" w:line="1" w:lineRule="exact"/>
        <w:rPr>
          <w:rFonts w:ascii="Times New Roman" w:cs="Times New Roman" w:eastAsia="Times New Roman" w:hAnsi="Times New Roman"/>
          <w:sz w:val="17"/>
          <w:szCs w:val="17"/>
          <w:color w:val="auto"/>
        </w:rPr>
      </w:pPr>
    </w:p>
    <w:p>
      <w:pPr>
        <w:ind w:left="440" w:right="1680"/>
        <w:spacing w:after="0" w:line="39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Equity Interests</w:t>
      </w:r>
      <w:r>
        <w:rPr>
          <w:rFonts w:ascii="Times New Roman" w:cs="Times New Roman" w:eastAsia="Times New Roman" w:hAnsi="Times New Roman"/>
          <w:sz w:val="18"/>
          <w:szCs w:val="18"/>
          <w:color w:val="auto"/>
        </w:rPr>
        <w:t>” of any Person means Equity Interests of such Person that are not Disqualified Equity Interests. “</w:t>
      </w:r>
      <w:r>
        <w:rPr>
          <w:rFonts w:ascii="Times New Roman" w:cs="Times New Roman" w:eastAsia="Times New Roman" w:hAnsi="Times New Roman"/>
          <w:sz w:val="18"/>
          <w:szCs w:val="18"/>
          <w:u w:val="single" w:color="auto"/>
          <w:color w:val="auto"/>
        </w:rPr>
        <w:t>Quarterly Report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5.02(a)(iii)</w:t>
      </w:r>
      <w:r>
        <w:rPr>
          <w:rFonts w:ascii="Times New Roman" w:cs="Times New Roman" w:eastAsia="Times New Roman" w:hAnsi="Times New Roman"/>
          <w:sz w:val="18"/>
          <w:szCs w:val="18"/>
          <w:color w:val="auto"/>
        </w:rPr>
        <w:t>.</w:t>
      </w: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0"/>
          </w:cols>
          <w:pgMar w:left="440" w:top="270" w:right="479" w:bottom="1440" w:gutter="0" w:footer="0" w:header="0"/>
        </w:sectPr>
      </w:pPr>
    </w:p>
    <w:bookmarkStart w:id="48" w:name="page49"/>
    <w:bookmarkEnd w:id="4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Receiving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Reconciliation Report</w:t>
      </w:r>
      <w:r>
        <w:rPr>
          <w:rFonts w:ascii="Times New Roman" w:cs="Times New Roman" w:eastAsia="Times New Roman" w:hAnsi="Times New Roman"/>
          <w:sz w:val="18"/>
          <w:szCs w:val="18"/>
          <w:color w:val="auto"/>
        </w:rPr>
        <w:t>” means, with respect to the relevant calendar quarter or calendar year, (a) a report showing Net Sales for the Included Products for such calendar period, reconciled, in each case, to the most applicable line item in the Company’s statements of operations for the applicable calendar period and (b) a reconciliation of all payments made by the Company to the Purchasers pursuant to this Agreement during such calendar period. The Reconciliation Report for a calendar year shall also include the foregoing information with respect to the fourth quarter of such calendar year.</w:t>
      </w:r>
    </w:p>
    <w:p>
      <w:pPr>
        <w:spacing w:after="0" w:line="75"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Agency</w:t>
      </w:r>
      <w:r>
        <w:rPr>
          <w:rFonts w:ascii="Times New Roman" w:cs="Times New Roman" w:eastAsia="Times New Roman" w:hAnsi="Times New Roman"/>
          <w:sz w:val="18"/>
          <w:szCs w:val="18"/>
          <w:color w:val="auto"/>
        </w:rPr>
        <w:t>” means the FDA and any other Governmental Authority with responsibility for the approval of the marketing and sale of pharmaceuticals or biologics or other regulation of pharmaceuticals or biologics.</w:t>
      </w: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Approval</w:t>
      </w:r>
      <w:r>
        <w:rPr>
          <w:rFonts w:ascii="Times New Roman" w:cs="Times New Roman" w:eastAsia="Times New Roman" w:hAnsi="Times New Roman"/>
          <w:sz w:val="18"/>
          <w:szCs w:val="18"/>
          <w:color w:val="auto"/>
        </w:rPr>
        <w:t>” means all approvals (including, without limitation, where applicable, Drug Approval Applications, pricing and reimbursement approval, labeling approval and schedule classifications), licenses, registrations, certificates, permits or authorizations (including, without limitation, pre- and post-approval Marketing Authorizations) of any Governmental Authority necessary for the manufacture, use, storage, import, export, transport, offer for sale, or sale of each Included Product, together with all amendments, supplements and updates thereto and all benefits arising therefrom, including any orphan drug exclusivities or other non-patent exclusivities.</w:t>
      </w:r>
    </w:p>
    <w:p>
      <w:pPr>
        <w:spacing w:after="0" w:line="79" w:lineRule="exact"/>
        <w:rPr>
          <w:sz w:val="20"/>
          <w:szCs w:val="20"/>
          <w:color w:val="auto"/>
        </w:rPr>
      </w:pPr>
    </w:p>
    <w:p>
      <w:pPr>
        <w:ind w:right="72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Regulatory Filings</w:t>
      </w:r>
      <w:r>
        <w:rPr>
          <w:rFonts w:ascii="Times New Roman" w:cs="Times New Roman" w:eastAsia="Times New Roman" w:hAnsi="Times New Roman"/>
          <w:sz w:val="17"/>
          <w:szCs w:val="17"/>
          <w:color w:val="auto"/>
        </w:rPr>
        <w:t>” means all applications, filings, dossiers and the like submitted to a Regulatory Agency for the purpose of obtaining Regulatory Approval from that Regulatory Agency. Regulatory Filings shall include, but not be limited to, all Drug Approval Applications.</w:t>
      </w:r>
    </w:p>
    <w:p>
      <w:pPr>
        <w:spacing w:after="0" w:line="32" w:lineRule="exact"/>
        <w:rPr>
          <w:sz w:val="20"/>
          <w:szCs w:val="20"/>
          <w:color w:val="auto"/>
        </w:rPr>
      </w:pPr>
    </w:p>
    <w:p>
      <w:pPr>
        <w:ind w:right="16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Regulatory Updates</w:t>
      </w:r>
      <w:r>
        <w:rPr>
          <w:rFonts w:ascii="Times New Roman" w:cs="Times New Roman" w:eastAsia="Times New Roman" w:hAnsi="Times New Roman"/>
          <w:sz w:val="17"/>
          <w:szCs w:val="17"/>
          <w:color w:val="auto"/>
        </w:rPr>
        <w:t>” means material information and developments with respect to any Regulatory Filing; provided, that with respect to any Regulatory Filing not related to Anktiva, copies of updates provided to the Board of the Company shall be sufficient to constitute Regulatory Updates.</w:t>
      </w:r>
    </w:p>
    <w:p>
      <w:pPr>
        <w:spacing w:after="0" w:line="3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Reimbursable Expenses</w:t>
      </w:r>
      <w:r>
        <w:rPr>
          <w:rFonts w:ascii="Times New Roman" w:cs="Times New Roman" w:eastAsia="Times New Roman" w:hAnsi="Times New Roman"/>
          <w:sz w:val="18"/>
          <w:szCs w:val="18"/>
          <w:color w:val="auto"/>
        </w:rPr>
        <w:t>” means all reasonable and documented costs and expenses (including attorneys’ fees and expenses, as well as appraisal fees, consulting fees, advisory fees, fees incurred on account of lien searches, inspection fees and filing fees) incurred as a result of or arising from or relating to or in connection with preparing, amending, executing, negotiating, administering, defending and enforcing the Transaction Documents (including, without limitation, those incurred in connection with appeals or any Bankruptcy Event) or otherwise incurred by the Purchaser Agent and/or the Purchasers in connection with the Transaction Documents.</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Purchasers</w:t>
      </w:r>
      <w:r>
        <w:rPr>
          <w:rFonts w:ascii="Times New Roman" w:cs="Times New Roman" w:eastAsia="Times New Roman" w:hAnsi="Times New Roman"/>
          <w:sz w:val="18"/>
          <w:szCs w:val="18"/>
          <w:color w:val="auto"/>
        </w:rPr>
        <w:t>” means the Purchasers whose aggregate Pro Rata Portions exceed 50%.</w:t>
      </w:r>
    </w:p>
    <w:p>
      <w:pPr>
        <w:spacing w:after="0" w:line="117" w:lineRule="exact"/>
        <w:rPr>
          <w:sz w:val="20"/>
          <w:szCs w:val="20"/>
          <w:color w:val="auto"/>
        </w:rPr>
      </w:pPr>
    </w:p>
    <w:p>
      <w:pPr>
        <w:ind w:right="40" w:firstLine="44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Restricted License</w:t>
      </w:r>
      <w:r>
        <w:rPr>
          <w:rFonts w:ascii="Times New Roman" w:cs="Times New Roman" w:eastAsia="Times New Roman" w:hAnsi="Times New Roman"/>
          <w:sz w:val="17"/>
          <w:szCs w:val="17"/>
          <w:color w:val="auto"/>
        </w:rPr>
        <w:t>” means (i) any Out-License that provides for or results in the legal transfer by any Obligor or its Subsidiaries of any title in or to any Intellectual Property, (ii) any License Agreement that cannot be collaterally assigned to secure the Obligations or otherwise contains provisions that restrict or penalize the granting of a security interest in or Lien on such License Agreement or the related Intellectual Property or, if entered into after the Closing Date, does not recognize the collateral assignment thereof to secure the Obligations, in each case, to the extent such provisions would validly prevent the granting of a security interest or collateral assignment to Purchaser Agent and/or the Purchasers after giving effect to Applicable Laws (including Section 9-407, 9-408, and 9-409 of the UCC), (iii) any License Agreement that restricts assignment of such License Agreement to the applicable purchaser upon the sale or other disposition of all or substantially all of the assets to which such License Agreement relates (other</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0"/>
          </w:cols>
          <w:pgMar w:left="440" w:top="270" w:right="479" w:bottom="1440" w:gutter="0" w:footer="0" w:header="0"/>
        </w:sectPr>
      </w:pPr>
    </w:p>
    <w:bookmarkStart w:id="49" w:name="page50"/>
    <w:bookmarkEnd w:id="49"/>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than customary provisions requiring the assumption by the applicable purchaser of all obligations under such License Agreement), or (iv) any License Agreement that does not permit the disclosure of information to be provided thereunder to Purchaser Agent and the Purchasers, to any purchaser or prospective purchaser in a foreclosure or other Transfer of all or any portion of the Collateral (subject to customary confidentiality obligations). For the avoidance of doubt, no agreement pursuant to which the Company or any Subsidiary obtains an off-the-shelf software license, a shrink-wrap license, a click-wrap license or a non-exclusive license of Intellectual Property that does not constitute Product Intellectual Property, in each case in the ordinary course of business, shall be a Restricted License.</w:t>
      </w:r>
    </w:p>
    <w:p>
      <w:pPr>
        <w:spacing w:after="0" w:line="79"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means (a) any dividend or other distribution, direct or indirect, on account of any shares (or equivalent) of any class of Equity Interests of any Person or any of its Subsidiaries, now or hereafter outstanding, (b) any redemption, retirement, sinking fund or similar payment, purchase or other acquisition for value, direct or indirect, of (i) any shares (or equivalent) of any class of Equity Interests of any Person or any of its Subsidiaries, now or hereafter outstanding or (ii) any call option on any shares (or equivalent) of any class of Equity Interests or any Person or any of its Subsidiaries (irrespective of whether such call option can be cash, net share or physically settled), (c) any payment made to retire, or to obtain the surrender of, any outstanding warrants, options or other rights to acquire shares of any class of Equity Interests of any Person or any of its Subsidiaries, now or hereafter outstanding, (d) any payment made in cash to the holders of Existing Stockholder Indebtedness or Subordinated Debt and (e) payments pursuant to the Affiliate Agreements and any other payment of management, advisory, consulting or other similar fees and expenses to Affiliates (in each case with respect to this clause (e), excluding rent payments (and payments for the use of real estate substantially identical to rent) to Affiliates in respect of real estate operating leases (or licenses to use real estate) entered into in the ordinary course of business).</w:t>
      </w:r>
    </w:p>
    <w:p>
      <w:pPr>
        <w:spacing w:after="0" w:line="194"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Revenue Interest Payments</w:t>
      </w:r>
      <w:r>
        <w:rPr>
          <w:rFonts w:ascii="Times New Roman" w:cs="Times New Roman" w:eastAsia="Times New Roman" w:hAnsi="Times New Roman"/>
          <w:sz w:val="18"/>
          <w:szCs w:val="18"/>
          <w:color w:val="auto"/>
        </w:rPr>
        <w:t xml:space="preserve">” means, with respect to each calendar quarter during the Revenue Interest Period, the amount payable by the Company to the Purchasers equal to the Net Sales in the Covered Territory for such calendar quarter multiplied by the Applicable Percentage, subject to the terms and conditions set forth in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calendar quarter, that the Total Revenue Interest Payments will not exceed the Cap Amount applicable at such time.</w:t>
      </w:r>
    </w:p>
    <w:p>
      <w:pPr>
        <w:spacing w:after="0" w:line="18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Revenue Interest Period</w:t>
      </w:r>
      <w:r>
        <w:rPr>
          <w:rFonts w:ascii="Times New Roman" w:cs="Times New Roman" w:eastAsia="Times New Roman" w:hAnsi="Times New Roman"/>
          <w:sz w:val="18"/>
          <w:szCs w:val="18"/>
          <w:color w:val="auto"/>
        </w:rPr>
        <w:t xml:space="preserve">” means the period from and including the Closing Date through and including the date on which the Purchasers have received Total Revenue Interest Payments equal to the applicable Cap Amount as of such date, unless earlier terminated or expired, as applicable, upon the indefeasible payment of the Put/Call Price upon (i) the Purchasers’ exercise, or deemed automatic exercise, of the Put Option in accordance with </w:t>
      </w:r>
      <w:r>
        <w:rPr>
          <w:rFonts w:ascii="Times New Roman" w:cs="Times New Roman" w:eastAsia="Times New Roman" w:hAnsi="Times New Roman"/>
          <w:sz w:val="18"/>
          <w:szCs w:val="18"/>
          <w:u w:val="single" w:color="auto"/>
          <w:color w:val="auto"/>
        </w:rPr>
        <w:t>Section 5.07(a)</w:t>
      </w:r>
      <w:r>
        <w:rPr>
          <w:rFonts w:ascii="Times New Roman" w:cs="Times New Roman" w:eastAsia="Times New Roman" w:hAnsi="Times New Roman"/>
          <w:sz w:val="18"/>
          <w:szCs w:val="18"/>
          <w:color w:val="auto"/>
        </w:rPr>
        <w:t xml:space="preserve"> (ii) the Company’s exercise of the Call Option in accordance with </w:t>
      </w:r>
      <w:r>
        <w:rPr>
          <w:rFonts w:ascii="Times New Roman" w:cs="Times New Roman" w:eastAsia="Times New Roman" w:hAnsi="Times New Roman"/>
          <w:sz w:val="18"/>
          <w:szCs w:val="18"/>
          <w:u w:val="single" w:color="auto"/>
          <w:color w:val="auto"/>
        </w:rPr>
        <w:t>Section 5.07(b)</w:t>
      </w:r>
      <w:r>
        <w:rPr>
          <w:rFonts w:ascii="Times New Roman" w:cs="Times New Roman" w:eastAsia="Times New Roman" w:hAnsi="Times New Roman"/>
          <w:sz w:val="18"/>
          <w:szCs w:val="18"/>
          <w:color w:val="auto"/>
        </w:rPr>
        <w:t xml:space="preserve"> or (iii) the Maturity Date.</w:t>
      </w:r>
    </w:p>
    <w:p>
      <w:pPr>
        <w:spacing w:after="0" w:line="180"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Revenue Interests</w:t>
      </w:r>
      <w:r>
        <w:rPr>
          <w:rFonts w:ascii="Times New Roman" w:cs="Times New Roman" w:eastAsia="Times New Roman" w:hAnsi="Times New Roman"/>
          <w:sz w:val="18"/>
          <w:szCs w:val="18"/>
          <w:color w:val="auto"/>
        </w:rPr>
        <w:t>” means all of the Obligors’ right, title and interest in and to that portion of the accounts and payment intangibles arising out of sales and licenses of the Included Products and the Product Assets equal to the Revenue Interest Payments for each calendar quarter (or portion thereof) during the Revenue Interest Period.</w:t>
      </w:r>
    </w:p>
    <w:p>
      <w:pPr>
        <w:spacing w:after="0" w:line="176"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Safety Notices</w:t>
      </w:r>
      <w:r>
        <w:rPr>
          <w:rFonts w:ascii="Times New Roman" w:cs="Times New Roman" w:eastAsia="Times New Roman" w:hAnsi="Times New Roman"/>
          <w:sz w:val="18"/>
          <w:szCs w:val="18"/>
          <w:color w:val="auto"/>
        </w:rPr>
        <w:t>” means any recalls, field notifications, market withdrawals, warnings, “dear doctor” letters, investigator notices, safety alerts or other notices of action issued or instigated by the Company, any Subsidiary of the Company or any Governmental Authority relating to an alleged lack of safety or regulatory compliance of any Included Product.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 Authority</w:t>
      </w:r>
      <w:r>
        <w:rPr>
          <w:rFonts w:ascii="Times New Roman" w:cs="Times New Roman" w:eastAsia="Times New Roman" w:hAnsi="Times New Roman"/>
          <w:sz w:val="18"/>
          <w:szCs w:val="18"/>
          <w:color w:val="auto"/>
        </w:rPr>
        <w:t>” means the U.S. government (including U.S. Department of the Treasury’s Office of Foreign Assets Control and the U.S. Department of State), the United Nations Security Council, His Majesty’s Treasury, the European Union, any European Union member state or any other applicable sanctions authority.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50" w:name="page51"/>
    <w:bookmarkEnd w:id="5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successor federal agency thereto.</w:t>
      </w:r>
    </w:p>
    <w:p>
      <w:pPr>
        <w:spacing w:after="0" w:line="225"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u w:val="single" w:color="auto"/>
          <w:color w:val="0000FF"/>
        </w:rPr>
        <w:t>“Second Amendment” means that certain Second Amendment to Revenue Interest Purchase Agreement, dated as of March 30, 2026, by and among the Company, the Purchasers and the Purchaser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-151130</wp:posOffset>
            </wp:positionV>
            <wp:extent cx="64122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28460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42"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Payment</w:t>
      </w:r>
      <w:r>
        <w:rPr>
          <w:rFonts w:ascii="Times New Roman" w:cs="Times New Roman" w:eastAsia="Times New Roman" w:hAnsi="Times New Roman"/>
          <w:sz w:val="18"/>
          <w:szCs w:val="18"/>
          <w:color w:val="auto"/>
        </w:rPr>
        <w:t xml:space="preserve">” means $100,000,000, which shall be paid by the Purchasers on the Second Purchaser Payment Date in accordance with </w:t>
      </w:r>
      <w:r>
        <w:rPr>
          <w:rFonts w:ascii="Times New Roman" w:cs="Times New Roman" w:eastAsia="Times New Roman" w:hAnsi="Times New Roman"/>
          <w:sz w:val="18"/>
          <w:szCs w:val="18"/>
          <w:u w:val="single" w:color="auto"/>
          <w:color w:val="auto"/>
        </w:rPr>
        <w:t>Section 2.03(a)(ii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Payment Date Disclosure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or “Third Payment Date Disclosure Notice”, as applicable,</w:t>
      </w:r>
      <w:r>
        <w:rPr>
          <w:rFonts w:ascii="Times New Roman" w:cs="Times New Roman" w:eastAsia="Times New Roman" w:hAnsi="Times New Roman"/>
          <w:sz w:val="18"/>
          <w:szCs w:val="18"/>
          <w:color w:val="auto"/>
        </w:rPr>
        <w:t xml:space="preserve"> means a notice delivered by the Obligors on or prior to the Second Purchaser Payment Date </w:t>
      </w:r>
      <w:r>
        <w:rPr>
          <w:rFonts w:ascii="Times New Roman" w:cs="Times New Roman" w:eastAsia="Times New Roman" w:hAnsi="Times New Roman"/>
          <w:sz w:val="18"/>
          <w:szCs w:val="18"/>
          <w:color w:val="0000FF"/>
        </w:rPr>
        <w:t>or Third Purchaser Payment Date, as applicable</w:t>
      </w:r>
      <w:r>
        <w:rPr>
          <w:rFonts w:ascii="Times New Roman" w:cs="Times New Roman" w:eastAsia="Times New Roman" w:hAnsi="Times New Roman"/>
          <w:sz w:val="18"/>
          <w:szCs w:val="18"/>
          <w:color w:val="auto"/>
        </w:rPr>
        <w:t xml:space="preserve">, which shall detail any exceptions to the making of representations and warranties by the Obligors as of the Second Purchaser Payment Date </w:t>
      </w:r>
      <w:r>
        <w:rPr>
          <w:rFonts w:ascii="Times New Roman" w:cs="Times New Roman" w:eastAsia="Times New Roman" w:hAnsi="Times New Roman"/>
          <w:sz w:val="18"/>
          <w:szCs w:val="18"/>
          <w:color w:val="0000FF"/>
        </w:rPr>
        <w:t>or Third Purchaser Payment Date, as applicable,</w:t>
      </w:r>
      <w:r>
        <w:rPr>
          <w:rFonts w:ascii="Times New Roman" w:cs="Times New Roman" w:eastAsia="Times New Roman" w:hAnsi="Times New Roman"/>
          <w:sz w:val="18"/>
          <w:szCs w:val="18"/>
          <w:color w:val="auto"/>
        </w:rPr>
        <w:t xml:space="preserve"> required in the judgment of the Obligors to make the representations and warranties in connection with the Second Payment </w:t>
      </w:r>
      <w:r>
        <w:rPr>
          <w:rFonts w:ascii="Times New Roman" w:cs="Times New Roman" w:eastAsia="Times New Roman" w:hAnsi="Times New Roman"/>
          <w:sz w:val="18"/>
          <w:szCs w:val="18"/>
          <w:u w:val="single" w:color="auto"/>
          <w:color w:val="0000FF"/>
        </w:rPr>
        <w:t>or Third Payment, as applicable,</w:t>
      </w:r>
      <w:r>
        <w:rPr>
          <w:rFonts w:ascii="Times New Roman" w:cs="Times New Roman" w:eastAsia="Times New Roman" w:hAnsi="Times New Roman"/>
          <w:sz w:val="18"/>
          <w:szCs w:val="18"/>
          <w:color w:val="auto"/>
        </w:rPr>
        <w:t xml:space="preserve"> comply with </w:t>
      </w:r>
      <w:r>
        <w:rPr>
          <w:rFonts w:ascii="Times New Roman" w:cs="Times New Roman" w:eastAsia="Times New Roman" w:hAnsi="Times New Roman"/>
          <w:sz w:val="18"/>
          <w:szCs w:val="18"/>
          <w:u w:val="single" w:color="auto"/>
          <w:color w:val="0000FF"/>
        </w:rPr>
        <w:t>Section 2.03(b)(</w:t>
      </w:r>
      <w:r>
        <w:rPr>
          <w:rFonts w:ascii="Times New Roman" w:cs="Times New Roman" w:eastAsia="Times New Roman" w:hAnsi="Times New Roman"/>
          <w:sz w:val="18"/>
          <w:szCs w:val="18"/>
          <w:color w:val="FF0000"/>
          <w:strike w:val="1"/>
        </w:rPr>
        <w:t>iii</w:t>
      </w:r>
      <w:r>
        <w:rPr>
          <w:rFonts w:ascii="Times New Roman" w:cs="Times New Roman" w:eastAsia="Times New Roman" w:hAnsi="Times New Roman"/>
          <w:sz w:val="18"/>
          <w:szCs w:val="18"/>
          <w:u w:val="single" w:color="auto"/>
          <w:color w:val="0000FF"/>
        </w:rPr>
        <w:t>iv</w:t>
      </w:r>
      <w:r>
        <w:rPr>
          <w:rFonts w:ascii="Times New Roman" w:cs="Times New Roman" w:eastAsia="Times New Roman" w:hAnsi="Times New Roman"/>
          <w:sz w:val="18"/>
          <w:szCs w:val="18"/>
          <w:color w:val="auto"/>
        </w:rPr>
        <w:t xml:space="preserv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-548640</wp:posOffset>
            </wp:positionV>
            <wp:extent cx="26746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7462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-411480</wp:posOffset>
            </wp:positionV>
            <wp:extent cx="22028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202815" cy="8255"/>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-445770</wp:posOffset>
            </wp:positionV>
            <wp:extent cx="220789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207895" cy="8255"/>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-274320</wp:posOffset>
            </wp:positionV>
            <wp:extent cx="22631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263140" cy="825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-308610</wp:posOffset>
            </wp:positionV>
            <wp:extent cx="226504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265045" cy="8255"/>
                    </a:xfrm>
                    <a:prstGeom prst="rect">
                      <a:avLst/>
                    </a:prstGeom>
                    <a:noFill/>
                  </pic:spPr>
                </pic:pic>
              </a:graphicData>
            </a:graphic>
          </wp:anchor>
        </w:drawing>
        <w:drawing>
          <wp:anchor simplePos="0" relativeHeight="251657728" behindDoc="1" locked="0" layoutInCell="0" allowOverlap="1">
            <wp:simplePos x="0" y="0"/>
            <wp:positionH relativeFrom="column">
              <wp:posOffset>4994910</wp:posOffset>
            </wp:positionH>
            <wp:positionV relativeFrom="paragraph">
              <wp:posOffset>-137160</wp:posOffset>
            </wp:positionV>
            <wp:extent cx="15170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17015" cy="825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0</wp:posOffset>
            </wp:positionV>
            <wp:extent cx="9855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163"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Purchaser Payment Date</w:t>
      </w:r>
      <w:r>
        <w:rPr>
          <w:rFonts w:ascii="Times New Roman" w:cs="Times New Roman" w:eastAsia="Times New Roman" w:hAnsi="Times New Roman"/>
          <w:sz w:val="18"/>
          <w:szCs w:val="18"/>
          <w:color w:val="auto"/>
        </w:rPr>
        <w:t>” means the date specified in the Payment Notice with regards to the Second Payment (or such earlier date as may be agreed by Purchaser Agent and the Purchasers in their sole discretion).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has the meaning set forth in the Security Agreement.</w:t>
      </w:r>
    </w:p>
    <w:p>
      <w:pPr>
        <w:spacing w:after="0" w:line="225"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means the Security Agreement among the Company, each Subsidiary Guarantor and the Purchaser Agent, dated as of the Closing Date, providing for, among other things, the grant by the Obligors in favor of the Purchaser Agent, for the benefit of the Secured Parties, of a valid continuing, perfected first priority (subject to Permitted Priority Liens) Lien on and security interest in the Collateral described therein.</w:t>
      </w:r>
    </w:p>
    <w:p>
      <w:pPr>
        <w:spacing w:after="0" w:line="176" w:lineRule="exact"/>
        <w:rPr>
          <w:sz w:val="20"/>
          <w:szCs w:val="20"/>
          <w:color w:val="auto"/>
        </w:rPr>
      </w:pPr>
    </w:p>
    <w:p>
      <w:pPr>
        <w:ind w:right="7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 Purchase Option</w:t>
      </w:r>
      <w:r>
        <w:rPr>
          <w:rFonts w:ascii="Times New Roman" w:cs="Times New Roman" w:eastAsia="Times New Roman" w:hAnsi="Times New Roman"/>
          <w:sz w:val="18"/>
          <w:szCs w:val="18"/>
          <w:color w:val="auto"/>
        </w:rPr>
        <w:t>” means the Option (as defined in the Option Agreement) granted by the Company to the Purchasers pursuant to Section 1(a) of the Option Agreement.</w:t>
      </w:r>
    </w:p>
    <w:p>
      <w:pPr>
        <w:spacing w:after="0" w:line="162"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(as defined in the Option Agreement) issued or issuable to the Purchasers upon the exercise of the Share Purchase Option pursuant to and in accordance with the Option Agreement.</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 Debt</w:t>
      </w:r>
      <w:r>
        <w:rPr>
          <w:rFonts w:ascii="Times New Roman" w:cs="Times New Roman" w:eastAsia="Times New Roman" w:hAnsi="Times New Roman"/>
          <w:sz w:val="18"/>
          <w:szCs w:val="18"/>
          <w:color w:val="auto"/>
        </w:rPr>
        <w:t>” means Indebtedness of any Obligor that is expressly subordinated to the Obligations on terms and pursuant to documentation satisfactory to Purchaser Agent in its sole and absolute discretion (provided subordination to the Obligations on terms and pursuant to documentation consistent with the subordination agreement entered into on the Closing Date by the holders of the Existing Stockholder Indebtedness shall be satisfactory to Purchase Agent); provided that, (i) such subordinated Indebtedness is provided by Patrick Soon-Shiong or an Affiliate or fund, investment, Person, vehicle or account that is managed and continues to be managed by Patrick Soon-Shiong or his Affiliates; (ii) such subordinated Indebtedness shall only be guaranteed by the Company or its Subsidiaries that are Obligors hereunder, (iii) (A) the terms of such subordinated Indebtedness (including, without limitation, interest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51" w:name="page52"/>
    <w:bookmarkEnd w:id="5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rates, fees, payment terms and covenants) shall be no more onerous or restrictive than those contained in the Existing Stockholder Indebtedness,</w:t>
      </w:r>
    </w:p>
    <w:p>
      <w:pPr>
        <w:spacing w:after="0" w:line="27" w:lineRule="exact"/>
        <w:rPr>
          <w:sz w:val="20"/>
          <w:szCs w:val="20"/>
          <w:color w:val="auto"/>
        </w:rPr>
      </w:pPr>
    </w:p>
    <w:p>
      <w:pPr>
        <w:ind w:left="4" w:right="60" w:hanging="4"/>
        <w:spacing w:after="0" w:line="253" w:lineRule="auto"/>
        <w:tabs>
          <w:tab w:leader="none" w:pos="28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subordinated Indebtedness shall have a cash interest rate of less than 10% per annum and (C) no scheduled principal payments, redemptions or sinking fund or like payments of any such subordinated Indebtedness shall be required prior to the date at least 91 days after the Maturity Date), and (iv) no Put Option Event shall exist immediately before and after giving effect to the incurrence of such subordinated Indebtedness and the use of proceeds therefrom on such date.</w:t>
      </w:r>
    </w:p>
    <w:p>
      <w:pPr>
        <w:spacing w:after="0" w:line="189" w:lineRule="exact"/>
        <w:rPr>
          <w:sz w:val="20"/>
          <w:szCs w:val="20"/>
          <w:color w:val="auto"/>
        </w:rPr>
      </w:pPr>
    </w:p>
    <w:p>
      <w:pPr>
        <w:jc w:val="both"/>
        <w:ind w:left="4" w:right="1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(i) any corporation of which the outstanding Equity Interests having at least a majority of votes entitled to be cast in the election of directors under ordinary circumstances is at the time owned, directly or indirectly, by such Person or (ii) any other Person of which at least a majority voting interest under ordinary circumstances is at the time, directly or indirectly, owned by such Person. Unless the context otherwise requires, “Subsidiary” refers to a direct or indirect Subsidiary of the Company.</w:t>
      </w:r>
    </w:p>
    <w:p>
      <w:pPr>
        <w:spacing w:after="0" w:line="180" w:lineRule="exact"/>
        <w:rPr>
          <w:sz w:val="20"/>
          <w:szCs w:val="20"/>
          <w:color w:val="auto"/>
        </w:rPr>
      </w:pPr>
    </w:p>
    <w:p>
      <w:pPr>
        <w:ind w:left="4" w:right="1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Guarantor</w:t>
      </w:r>
      <w:r>
        <w:rPr>
          <w:rFonts w:ascii="Times New Roman" w:cs="Times New Roman" w:eastAsia="Times New Roman" w:hAnsi="Times New Roman"/>
          <w:sz w:val="18"/>
          <w:szCs w:val="18"/>
          <w:color w:val="auto"/>
        </w:rPr>
        <w:t>” means any Subsidiary that is a guarantor of the Obligations under the Guaranty (or under another guaranty agreement in form and substance satisfactory to the Purchaser Agent) and has granted to the Purchaser Agent, on behalf of the Purchasers, a Lien upon and security interest in its right, title and interest in, to and under the Collateral pursuant to the Security Agreement or other Transaction Document. No Excluded Subsidiary shall be required to become a Subsidiary Guarantor.</w:t>
      </w:r>
    </w:p>
    <w:p>
      <w:pPr>
        <w:spacing w:after="0" w:line="180" w:lineRule="exact"/>
        <w:rPr>
          <w:sz w:val="20"/>
          <w:szCs w:val="20"/>
          <w:color w:val="auto"/>
        </w:rPr>
      </w:pPr>
    </w:p>
    <w:p>
      <w:pPr>
        <w:ind w:left="4" w:right="4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federal, state, local or foreign tax, levy, impost, duty, assessment, fee, deduction or withholding or other charge, including all excise, sales, use, value added, transfer, stamp, documentary, filing, recordation and other fees imposed by any taxing authority (and interest, fines, penalties and additions related thereto).</w:t>
      </w:r>
    </w:p>
    <w:p>
      <w:pPr>
        <w:spacing w:after="0" w:line="176"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report, return, form (including elections, declarations, statements, amendments, claims for refund, schedules, information returns or attachments thereto) or other information supplied or required to be supplied to a Governmental Authority with respect to Taxes.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Test Date</w:t>
      </w:r>
      <w:r>
        <w:rPr>
          <w:rFonts w:ascii="Times New Roman" w:cs="Times New Roman" w:eastAsia="Times New Roman" w:hAnsi="Times New Roman"/>
          <w:sz w:val="18"/>
          <w:szCs w:val="18"/>
          <w:color w:val="auto"/>
        </w:rPr>
        <w:t>” means the last Business Day of the calendar year 2029. “</w:t>
      </w:r>
      <w:r>
        <w:rPr>
          <w:rFonts w:ascii="Times New Roman" w:cs="Times New Roman" w:eastAsia="Times New Roman" w:hAnsi="Times New Roman"/>
          <w:sz w:val="18"/>
          <w:szCs w:val="18"/>
          <w:u w:val="single" w:color="auto"/>
          <w:color w:val="auto"/>
        </w:rPr>
        <w:t>Test Date Shortfall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xml:space="preserve">” means any Person other than the Purchaser Agent, any Purchaser, the Company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the Net Sales definition, “Third Party” means any Person other than the Company, its Affiliates and any Licensee.</w:t>
      </w:r>
    </w:p>
    <w:p>
      <w:pPr>
        <w:spacing w:after="0" w:line="162"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 Claim</w:t>
      </w:r>
      <w:r>
        <w:rPr>
          <w:rFonts w:ascii="Times New Roman" w:cs="Times New Roman" w:eastAsia="Times New Roman" w:hAnsi="Times New Roman"/>
          <w:sz w:val="18"/>
          <w:szCs w:val="18"/>
          <w:color w:val="auto"/>
        </w:rPr>
        <w:t>” means any claim, action, suit or proceeding by a Third Party, excluding any lender, officer, directors, employee or agent or other representative of a party to this Agreement, including any investigation by any Governmental Authority.</w:t>
      </w:r>
    </w:p>
    <w:p>
      <w:pPr>
        <w:spacing w:after="0" w:line="162" w:lineRule="exact"/>
        <w:rPr>
          <w:sz w:val="20"/>
          <w:szCs w:val="20"/>
          <w:color w:val="auto"/>
        </w:rPr>
      </w:pPr>
    </w:p>
    <w:p>
      <w:pPr>
        <w:ind w:left="4" w:right="340" w:firstLine="440"/>
        <w:spacing w:after="0" w:line="282" w:lineRule="auto"/>
        <w:rPr>
          <w:sz w:val="20"/>
          <w:szCs w:val="20"/>
          <w:color w:val="auto"/>
        </w:rPr>
      </w:pPr>
      <w:r>
        <w:rPr>
          <w:rFonts w:ascii="Times New Roman" w:cs="Times New Roman" w:eastAsia="Times New Roman" w:hAnsi="Times New Roman"/>
          <w:sz w:val="18"/>
          <w:szCs w:val="18"/>
          <w:u w:val="single" w:color="auto"/>
          <w:color w:val="0000FF"/>
        </w:rPr>
        <w:t>“Third Payment” means $75,000,000, which shall be paid by the Purchasers on the Third Purchaser Payment Date in accordance with Section 2.03(a)(iii).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-151130</wp:posOffset>
            </wp:positionV>
            <wp:extent cx="648906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52260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22605" cy="8890"/>
                    </a:xfrm>
                    <a:prstGeom prst="rect">
                      <a:avLst/>
                    </a:prstGeom>
                    <a:noFill/>
                  </pic:spPr>
                </pic:pic>
              </a:graphicData>
            </a:graphic>
          </wp:anchor>
        </w:drawing>
      </w:r>
    </w:p>
    <w:p>
      <w:pPr>
        <w:spacing w:after="0" w:line="14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0000FF"/>
        </w:rPr>
        <w:t>“Third Purchaser Payment Date” means the date specified in the Payment Notice with regards to the Third Payment, which shall be March 31,</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0000FF"/>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-121920</wp:posOffset>
            </wp:positionV>
            <wp:extent cx="650621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0621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25717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4"/>
          </w:cols>
          <w:pgMar w:left="436" w:top="270" w:right="459" w:bottom="1440" w:gutter="0" w:footer="0" w:header="0"/>
        </w:sectPr>
      </w:pPr>
    </w:p>
    <w:bookmarkStart w:id="52" w:name="page53"/>
    <w:bookmarkEnd w:id="52"/>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Total Revenue Interest Payments</w:t>
      </w:r>
      <w:r>
        <w:rPr>
          <w:rFonts w:ascii="Times New Roman" w:cs="Times New Roman" w:eastAsia="Times New Roman" w:hAnsi="Times New Roman"/>
          <w:sz w:val="18"/>
          <w:szCs w:val="18"/>
          <w:color w:val="auto"/>
        </w:rPr>
        <w:t>” means, as of any date of determination, the aggregate amount of all Revenue Interest Payments and any True-Up Payment indefeasibly paid by the Company and actually received by the Purchasers pursuant to this Agreement.</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collectively, this Agreement, each Guaranty, the Security Agreement, the Control Agreements, each intellectual property security agreement, any mortgages, deeds of trust or deeds to secure debt that encumbers real property, any foreign collateral documents or other collateral documents or subordination agreements entered into in connection with this Agreement, the Perfection Certificate, each Compliance Certificate, each Payment Notice, the Option Agreement, and any related ancillary documents or agreements, in each case, for the benefit of the Secured Parties in connection with this Agreement, all as amended, amended and restated, supplemented or otherwise modified from time to time.</w:t>
      </w:r>
    </w:p>
    <w:p>
      <w:pPr>
        <w:spacing w:after="0" w:line="183"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the sale, conveyance, transfer, license, sublicense, lease or other disposition of any property, including any sale, assignment, transfer or other disposal, with or without recourse, of any notes or accounts receivable or any rights and claims associated therewith.</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True-Up Payment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(or any similar or equivalent legislation) as in effect in any applicable jurisdiction.</w:t>
      </w:r>
    </w:p>
    <w:p>
      <w:pPr>
        <w:spacing w:after="0" w:line="225"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 Financing Statements</w:t>
      </w:r>
      <w:r>
        <w:rPr>
          <w:rFonts w:ascii="Times New Roman" w:cs="Times New Roman" w:eastAsia="Times New Roman" w:hAnsi="Times New Roman"/>
          <w:sz w:val="18"/>
          <w:szCs w:val="18"/>
          <w:color w:val="auto"/>
        </w:rPr>
        <w:t>” means the UCC-1 financing statements, in form and substance reasonably satisfactory to the Purchaser Agent, that shall be filed by the Purchaser Agent at or promptly following the Closing Date, as well as any additional UCC-1 financing statements or amendments thereto as reasonably requested from time to time, to perfect the Purchaser Agent’s security interest in the Collateral.</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means the United States of America.</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PURCHASE OF REVENUE INTERESTS; PAYMENTS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2.01 </w:t>
      </w:r>
      <w:r>
        <w:rPr>
          <w:rFonts w:ascii="Times New Roman" w:cs="Times New Roman" w:eastAsia="Times New Roman" w:hAnsi="Times New Roman"/>
          <w:sz w:val="18"/>
          <w:szCs w:val="18"/>
          <w:u w:val="single" w:color="auto"/>
          <w:color w:val="auto"/>
        </w:rPr>
        <w:t>Purchase of Revenue Interests.</w:t>
      </w:r>
    </w:p>
    <w:p>
      <w:pPr>
        <w:spacing w:after="0" w:line="22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Upon the terms and subject to the conditions set forth in this Agreement, the Company agrees to sell, assign and transfer to each Purchaser, and each Purchaser agrees to purchase and accept from the Company, free and clear of all Liens, such Purchaser’s Pro Rata Portion of the Revenue Interests. The Purchasers’ interest in the Revenue Interests shall vest immediately upon the Company’s receipt of payment of the First Payment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subject to the termination provisions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2.02 </w:t>
      </w:r>
      <w:r>
        <w:rPr>
          <w:rFonts w:ascii="Times New Roman" w:cs="Times New Roman" w:eastAsia="Times New Roman" w:hAnsi="Times New Roman"/>
          <w:sz w:val="18"/>
          <w:szCs w:val="18"/>
          <w:u w:val="single" w:color="auto"/>
          <w:color w:val="auto"/>
        </w:rPr>
        <w:t>Payments by the Company.</w:t>
      </w:r>
    </w:p>
    <w:p>
      <w:pPr>
        <w:spacing w:after="0" w:line="229" w:lineRule="exact"/>
        <w:rPr>
          <w:sz w:val="20"/>
          <w:szCs w:val="20"/>
          <w:color w:val="auto"/>
        </w:rPr>
      </w:pPr>
    </w:p>
    <w:p>
      <w:pPr>
        <w:ind w:left="680" w:hanging="244"/>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in Respect of the Revenue Interests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firstLine="419"/>
        <w:spacing w:after="0" w:line="289" w:lineRule="auto"/>
        <w:tabs>
          <w:tab w:leader="none" w:pos="1078"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consideration of the Purchaser Payments made by the Purchasers, the Purchasers shall be entitled to receive, and the Company shall pay to the Purchasers, on each applicable Payment Date, the Revenue Interest Payments during the Revenue Interest Period and, upon the exercise (or deemed exercise) by the respective party of the Call Option or the Put Option, as the case may be, the Put/Call Price in respect thereof.</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0"/>
          </w:cols>
          <w:pgMar w:left="440" w:top="270" w:right="479" w:bottom="1440" w:gutter="0" w:footer="0" w:header="0"/>
        </w:sectPr>
      </w:pPr>
    </w:p>
    <w:bookmarkStart w:id="53" w:name="page54"/>
    <w:bookmarkEnd w:id="53"/>
    <w:p>
      <w:pPr>
        <w:ind w:left="444" w:firstLine="419"/>
        <w:spacing w:after="0" w:line="253" w:lineRule="auto"/>
        <w:tabs>
          <w:tab w:leader="none" w:pos="113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each calendar quarter commencing with the first Payment Date, the Company shall pay to the Purchasers, the Revenue Interest Payment for such calendar quarter on the Payment Date at the end of such calendar quarter with Net Sales for such payment to be calculated using the Company’s good faith estimate of gross cash receipts for such calendar quarter; provided that all payments in respect of any calendar quarter shall be subject to reconciliation based on (A) the final Net Sales for the applicable calendar quarter on the Payment Date for the subsequent calendar quarter and (B) the final Net Sales for the applicable calendar year in which such calendar quarter occurs based on the audited financial statements for such</w:t>
      </w:r>
    </w:p>
    <w:p>
      <w:pPr>
        <w:spacing w:after="0" w:line="5" w:lineRule="exact"/>
        <w:rPr>
          <w:rFonts w:ascii="Times New Roman" w:cs="Times New Roman" w:eastAsia="Times New Roman" w:hAnsi="Times New Roman"/>
          <w:sz w:val="18"/>
          <w:szCs w:val="18"/>
          <w:color w:val="auto"/>
        </w:rPr>
      </w:pPr>
    </w:p>
    <w:p>
      <w:pPr>
        <w:ind w:left="444"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calendar year on the Payment Date for the first calendar quarter of the subsequent calendar year, in each case of (A) and (B), with such reconciliation to be prepared by the Company and delivered to the Purchasers and the Purchaser Agent in the form of a Reconciliation Report in accordance with </w:t>
      </w:r>
      <w:r>
        <w:rPr>
          <w:rFonts w:ascii="Times New Roman" w:cs="Times New Roman" w:eastAsia="Times New Roman" w:hAnsi="Times New Roman"/>
          <w:sz w:val="18"/>
          <w:szCs w:val="18"/>
          <w:u w:val="single" w:color="auto"/>
          <w:color w:val="auto"/>
        </w:rPr>
        <w:t>Section 5.02(b)(i)</w:t>
      </w:r>
      <w:r>
        <w:rPr>
          <w:rFonts w:ascii="Times New Roman" w:cs="Times New Roman" w:eastAsia="Times New Roman" w:hAnsi="Times New Roman"/>
          <w:sz w:val="18"/>
          <w:szCs w:val="18"/>
          <w:color w:val="auto"/>
        </w:rPr>
        <w:t>. With respect to each reconciliation, any overpayments shall be credited against, and any underpayments shall be added to, the subsequent payments in respect of the Revenue Interests. For the avoidance of doubt, the Purchasers shall not be required to refund any Revenue Interest Payments.</w:t>
      </w:r>
    </w:p>
    <w:p>
      <w:pPr>
        <w:spacing w:after="0" w:line="78"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True-Up Payment</w:t>
      </w:r>
      <w:r>
        <w:rPr>
          <w:rFonts w:ascii="Times New Roman" w:cs="Times New Roman" w:eastAsia="Times New Roman" w:hAnsi="Times New Roman"/>
          <w:sz w:val="18"/>
          <w:szCs w:val="18"/>
          <w:color w:val="auto"/>
        </w:rPr>
        <w:t>. If, as of the Test Date, the Total Revenue Interest Payments are less than 100% of the Cumulative Purchaser Payments (a</w:t>
      </w:r>
    </w:p>
    <w:p>
      <w:pPr>
        <w:spacing w:after="0" w:line="27" w:lineRule="exact"/>
        <w:rPr>
          <w:sz w:val="20"/>
          <w:szCs w:val="20"/>
          <w:color w:val="auto"/>
        </w:rPr>
      </w:pPr>
    </w:p>
    <w:p>
      <w:pPr>
        <w:ind w:left="4" w:right="10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Test Date Shortfall</w:t>
      </w:r>
      <w:r>
        <w:rPr>
          <w:rFonts w:ascii="Times New Roman" w:cs="Times New Roman" w:eastAsia="Times New Roman" w:hAnsi="Times New Roman"/>
          <w:sz w:val="18"/>
          <w:szCs w:val="18"/>
          <w:color w:val="auto"/>
        </w:rPr>
        <w:t>”), then the Company will, on the Test Date, make a one-time payment to each Purchaser in accordance with its Pro Rata Portion of the Revenue Interests, by wire transfer of immediately available funds to the account or accounts designated by such Purchaser, in an amount equal to 100% of the Cumulative Purchaser Payments as of the Test Date less the Total Revenue Interest Payments as of the Test Date (such amount, the “</w:t>
      </w:r>
      <w:r>
        <w:rPr>
          <w:rFonts w:ascii="Times New Roman" w:cs="Times New Roman" w:eastAsia="Times New Roman" w:hAnsi="Times New Roman"/>
          <w:sz w:val="18"/>
          <w:szCs w:val="18"/>
          <w:u w:val="single" w:color="auto"/>
          <w:color w:val="auto"/>
        </w:rPr>
        <w:t>True-Up Payment</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4" w:right="280" w:firstLine="436"/>
        <w:spacing w:after="0" w:line="266" w:lineRule="auto"/>
        <w:tabs>
          <w:tab w:leader="none" w:pos="68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Upon the Maturity Date, the Company shall pay to each Purchaser in accordance with its Pro Rata Portion of the Revenue Interests, by wire transfer of immediately available funds to the account or accounts designated by such Purchaser, an amount equal to 195.0% of the Cumulative Purchaser Payments minus the Total Revenue Interest Payments as of such date.</w:t>
      </w:r>
    </w:p>
    <w:p>
      <w:pPr>
        <w:spacing w:after="0" w:line="67" w:lineRule="exact"/>
        <w:rPr>
          <w:rFonts w:ascii="Times New Roman" w:cs="Times New Roman" w:eastAsia="Times New Roman" w:hAnsi="Times New Roman"/>
          <w:sz w:val="18"/>
          <w:szCs w:val="18"/>
          <w:color w:val="auto"/>
        </w:rPr>
      </w:pPr>
    </w:p>
    <w:p>
      <w:pPr>
        <w:ind w:left="4" w:right="40" w:firstLine="436"/>
        <w:spacing w:after="0" w:line="256" w:lineRule="auto"/>
        <w:tabs>
          <w:tab w:leader="none" w:pos="69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Reimbursable Expenses</w:t>
      </w:r>
      <w:r>
        <w:rPr>
          <w:rFonts w:ascii="Times New Roman" w:cs="Times New Roman" w:eastAsia="Times New Roman" w:hAnsi="Times New Roman"/>
          <w:sz w:val="18"/>
          <w:szCs w:val="18"/>
          <w:color w:val="auto"/>
        </w:rPr>
        <w:t xml:space="preserve">. The Company shall pay to the Purchaser Agent all Reimbursable Expenses (including attorneys’ fees and expenses for documentation and negotiation of this Agreement) incurred through and after the Closing Date, when due. It is the intention of the parties hereto that the Company shall pay Reimbursable Expenses directly;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discretion of the Purchasers, Reimbursable Expenses may be deducted from the Purchaser Payments to the extent invoiced at least two (2) Business Days (or one (1) Business Day in the case of the First Payment </w:t>
      </w:r>
      <w:r>
        <w:rPr>
          <w:rFonts w:ascii="Times New Roman" w:cs="Times New Roman" w:eastAsia="Times New Roman" w:hAnsi="Times New Roman"/>
          <w:sz w:val="18"/>
          <w:szCs w:val="18"/>
          <w:color w:val="0000FF"/>
        </w:rPr>
        <w:t>and 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Payment</w:t>
      </w:r>
      <w:r>
        <w:rPr>
          <w:rFonts w:ascii="Times New Roman" w:cs="Times New Roman" w:eastAsia="Times New Roman" w:hAnsi="Times New Roman"/>
          <w:sz w:val="18"/>
          <w:szCs w:val="18"/>
          <w:color w:val="000000"/>
        </w:rPr>
        <w:t>) prior to such Purchaser Payment. In the event the Purchaser Agent or any Purchaser pays any of such expenses directly, the Company will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promptly following invoice by Purchaser Agent or such Purchaser reimburse the Purchaser Agent or such Purchaser for such expenses.</w:t>
      </w:r>
    </w:p>
    <w:p>
      <w:pPr>
        <w:spacing w:after="0" w:line="79" w:lineRule="exact"/>
        <w:rPr>
          <w:rFonts w:ascii="Times New Roman" w:cs="Times New Roman" w:eastAsia="Times New Roman" w:hAnsi="Times New Roman"/>
          <w:sz w:val="18"/>
          <w:szCs w:val="18"/>
          <w:color w:val="auto"/>
        </w:rPr>
      </w:pPr>
    </w:p>
    <w:p>
      <w:pPr>
        <w:ind w:left="4" w:right="160" w:firstLine="436"/>
        <w:spacing w:after="0" w:line="254" w:lineRule="auto"/>
        <w:tabs>
          <w:tab w:leader="none" w:pos="68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Procedure; Currency Conversion</w:t>
      </w:r>
      <w:r>
        <w:rPr>
          <w:rFonts w:ascii="Times New Roman" w:cs="Times New Roman" w:eastAsia="Times New Roman" w:hAnsi="Times New Roman"/>
          <w:sz w:val="18"/>
          <w:szCs w:val="18"/>
          <w:color w:val="auto"/>
        </w:rPr>
        <w:t xml:space="preserve">. Any payments to be made by the Obligors to the Purchasers and/or Purchaser Agent hereunder or under any other Transaction Document shall be made in United States dollars by wire transfer of immediately available funds. All Revenue Interest Payments and other payments by the Obligors (other than payments in respect of Reimbursable Expenses and indemnification obligations pursuant to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shall be made to each Purchaser in accordance with its Pro Rata Portion. If any currency conversion shall be required in connection with the calculation of amounts payable hereunder, such conversion shall be made using the average of the buying and selling rates on the last five</w:t>
      </w:r>
    </w:p>
    <w:p>
      <w:pPr>
        <w:spacing w:after="0" w:line="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of the calendar quarter to which such amounts pertain, as published by The Wall Street Journal, Internet Edition at www.wsj.com.</w:t>
      </w:r>
    </w:p>
    <w:p>
      <w:pPr>
        <w:spacing w:after="0" w:line="98" w:lineRule="exact"/>
        <w:rPr>
          <w:rFonts w:ascii="Times New Roman" w:cs="Times New Roman" w:eastAsia="Times New Roman" w:hAnsi="Times New Roman"/>
          <w:sz w:val="18"/>
          <w:szCs w:val="18"/>
          <w:color w:val="auto"/>
        </w:rPr>
      </w:pPr>
    </w:p>
    <w:p>
      <w:pPr>
        <w:jc w:val="both"/>
        <w:ind w:left="4" w:right="20" w:firstLine="436"/>
        <w:spacing w:after="0" w:line="261" w:lineRule="auto"/>
        <w:tabs>
          <w:tab w:leader="none" w:pos="669"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Late Payments.</w:t>
      </w:r>
      <w:r>
        <w:rPr>
          <w:rFonts w:ascii="Times New Roman" w:cs="Times New Roman" w:eastAsia="Times New Roman" w:hAnsi="Times New Roman"/>
          <w:sz w:val="18"/>
          <w:szCs w:val="18"/>
          <w:color w:val="auto"/>
        </w:rPr>
        <w:t xml:space="preserve"> All Revenue Interests and any other Obligations required to be paid to the Purchasers on each Payment Date but not paid when due (other than good faith underpayments subject to reconciliation pursuant to </w:t>
      </w:r>
      <w:r>
        <w:rPr>
          <w:rFonts w:ascii="Times New Roman" w:cs="Times New Roman" w:eastAsia="Times New Roman" w:hAnsi="Times New Roman"/>
          <w:sz w:val="18"/>
          <w:szCs w:val="18"/>
          <w:u w:val="single" w:color="auto"/>
          <w:color w:val="auto"/>
        </w:rPr>
        <w:t>Section 2.02(a)(ii)</w:t>
      </w:r>
      <w:r>
        <w:rPr>
          <w:rFonts w:ascii="Times New Roman" w:cs="Times New Roman" w:eastAsia="Times New Roman" w:hAnsi="Times New Roman"/>
          <w:sz w:val="18"/>
          <w:szCs w:val="18"/>
          <w:color w:val="auto"/>
        </w:rPr>
        <w:t>) shall bear interest at a rate of the Prime Rate plus four percent (4.00%) per annum (calculated on the basis of a three hundred sixty (360) day year and actual days elapsed) from the due date until paid in full or, if less, the maximum interest rate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6403340</wp:posOffset>
            </wp:positionH>
            <wp:positionV relativeFrom="paragraph">
              <wp:posOffset>-1785620</wp:posOffset>
            </wp:positionV>
            <wp:extent cx="4800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80060" cy="8255"/>
                    </a:xfrm>
                    <a:prstGeom prst="rect">
                      <a:avLst/>
                    </a:prstGeom>
                    <a:noFill/>
                  </pic:spPr>
                </pic:pic>
              </a:graphicData>
            </a:graphic>
          </wp:anchor>
        </w:drawing>
        <w:drawing>
          <wp:anchor simplePos="0" relativeHeight="251657728" behindDoc="1" locked="0" layoutInCell="0" allowOverlap="1">
            <wp:simplePos x="0" y="0"/>
            <wp:positionH relativeFrom="column">
              <wp:posOffset>6406515</wp:posOffset>
            </wp:positionH>
            <wp:positionV relativeFrom="paragraph">
              <wp:posOffset>-1819910</wp:posOffset>
            </wp:positionV>
            <wp:extent cx="4756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756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-1648460</wp:posOffset>
            </wp:positionV>
            <wp:extent cx="4025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02590" cy="8255"/>
                    </a:xfrm>
                    <a:prstGeom prst="rect">
                      <a:avLst/>
                    </a:prstGeom>
                    <a:noFill/>
                  </pic:spPr>
                </pic:pic>
              </a:graphicData>
            </a:graphic>
          </wp:anchor>
        </w:drawing>
      </w:r>
    </w:p>
    <w:p>
      <w:pPr>
        <w:spacing w:after="0" w:line="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4"/>
          </w:cols>
          <w:pgMar w:left="436" w:top="270"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2.03 </w:t>
      </w:r>
      <w:r>
        <w:rPr>
          <w:rFonts w:ascii="Times New Roman" w:cs="Times New Roman" w:eastAsia="Times New Roman" w:hAnsi="Times New Roman"/>
          <w:sz w:val="18"/>
          <w:szCs w:val="18"/>
          <w:u w:val="single" w:color="auto"/>
          <w:color w:val="auto"/>
        </w:rPr>
        <w:t>Purchaser Payments; Conditions Precedent.</w:t>
      </w:r>
    </w:p>
    <w:p>
      <w:pPr>
        <w:spacing w:after="0" w:line="121" w:lineRule="exact"/>
        <w:rPr>
          <w:sz w:val="20"/>
          <w:szCs w:val="20"/>
          <w:color w:val="auto"/>
        </w:rPr>
      </w:pPr>
    </w:p>
    <w:p>
      <w:pPr>
        <w:ind w:right="780" w:firstLine="436"/>
        <w:spacing w:after="0" w:line="282" w:lineRule="auto"/>
        <w:tabs>
          <w:tab w:leader="none" w:pos="68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Payments</w:t>
      </w:r>
      <w:r>
        <w:rPr>
          <w:rFonts w:ascii="Times New Roman" w:cs="Times New Roman" w:eastAsia="Times New Roman" w:hAnsi="Times New Roman"/>
          <w:sz w:val="18"/>
          <w:szCs w:val="18"/>
          <w:color w:val="auto"/>
        </w:rPr>
        <w:t>. In each case subject to the applicable conditions precedent in clause (b), which may be waived by the Required Purchasers in their sole discretion:</w:t>
      </w:r>
    </w:p>
    <w:p>
      <w:pPr>
        <w:spacing w:after="0" w:line="53" w:lineRule="exact"/>
        <w:rPr>
          <w:rFonts w:ascii="Times New Roman" w:cs="Times New Roman" w:eastAsia="Times New Roman" w:hAnsi="Times New Roman"/>
          <w:sz w:val="18"/>
          <w:szCs w:val="18"/>
          <w:color w:val="auto"/>
        </w:rPr>
      </w:pPr>
    </w:p>
    <w:p>
      <w:pPr>
        <w:jc w:val="both"/>
        <w:ind w:left="440" w:right="40" w:firstLine="419"/>
        <w:spacing w:after="0" w:line="266" w:lineRule="auto"/>
        <w:tabs>
          <w:tab w:leader="none" w:pos="107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Closing Date, each Purchaser shall pay to the Company, and the Company shall accept, such Purchaser’s </w:t>
      </w:r>
      <w:r>
        <w:rPr>
          <w:rFonts w:ascii="Times New Roman" w:cs="Times New Roman" w:eastAsia="Times New Roman" w:hAnsi="Times New Roman"/>
          <w:sz w:val="18"/>
          <w:szCs w:val="18"/>
          <w:color w:val="FF0000"/>
          <w:strike w:val="1"/>
        </w:rPr>
        <w:t>Pro Rata Portion</w:t>
      </w:r>
      <w:r>
        <w:rPr>
          <w:rFonts w:ascii="Times New Roman" w:cs="Times New Roman" w:eastAsia="Times New Roman" w:hAnsi="Times New Roman"/>
          <w:sz w:val="18"/>
          <w:szCs w:val="18"/>
          <w:u w:val="single" w:color="auto"/>
          <w:color w:val="0000FF"/>
        </w:rPr>
        <w:t>portion</w:t>
      </w:r>
      <w:r>
        <w:rPr>
          <w:rFonts w:ascii="Times New Roman" w:cs="Times New Roman" w:eastAsia="Times New Roman" w:hAnsi="Times New Roman"/>
          <w:sz w:val="18"/>
          <w:szCs w:val="18"/>
          <w:color w:val="auto"/>
        </w:rPr>
        <w:t xml:space="preserve"> of the First Payment </w:t>
      </w:r>
      <w:r>
        <w:rPr>
          <w:rFonts w:ascii="Times New Roman" w:cs="Times New Roman" w:eastAsia="Times New Roman" w:hAnsi="Times New Roman"/>
          <w:sz w:val="18"/>
          <w:szCs w:val="18"/>
          <w:u w:val="single" w:color="auto"/>
          <w:color w:val="0000FF"/>
        </w:rPr>
        <w:t>according to such Purchaser’s Purchaser Commitment set forth opposite such Purchaser’s name on Schedule 1.01(b)</w:t>
      </w:r>
      <w:r>
        <w:rPr>
          <w:rFonts w:ascii="Times New Roman" w:cs="Times New Roman" w:eastAsia="Times New Roman" w:hAnsi="Times New Roman"/>
          <w:sz w:val="18"/>
          <w:szCs w:val="18"/>
          <w:color w:val="auto"/>
        </w:rPr>
        <w:t>(less any then unpaid Reimbursable Expenses) by wire transfer of immediately available funds.</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12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Second Purchaser Payment Date, each Purchaser shall pay to the Company, and the Company shall accept, such Purchaser’s </w:t>
      </w:r>
      <w:r>
        <w:rPr>
          <w:rFonts w:ascii="Times New Roman" w:cs="Times New Roman" w:eastAsia="Times New Roman" w:hAnsi="Times New Roman"/>
          <w:sz w:val="18"/>
          <w:szCs w:val="18"/>
          <w:color w:val="FF0000"/>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Rata Portion</w:t>
      </w:r>
      <w:r>
        <w:rPr>
          <w:rFonts w:ascii="Times New Roman" w:cs="Times New Roman" w:eastAsia="Times New Roman" w:hAnsi="Times New Roman"/>
          <w:sz w:val="18"/>
          <w:szCs w:val="18"/>
          <w:u w:val="single" w:color="auto"/>
          <w:color w:val="0000FF"/>
        </w:rPr>
        <w:t>portion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of the Second Payment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according to such Purchaser’s Purchaser Commitment set forth opposite such Purchaser’s name 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Schedule 1.01(b)</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(less any then unpaid Reimbursable Expenses) by wire transfer of immediately available funds.</w:t>
      </w:r>
    </w:p>
    <w:p>
      <w:pPr>
        <w:spacing w:after="0" w:line="67"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78" w:val="left"/>
        </w:tabs>
        <w:numPr>
          <w:ilvl w:val="1"/>
          <w:numId w:val="5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On the Third Purchaser Payment Date, each Purchaser shall pay to the Company, and the Company shall accept, such Purchaser’s portion of the Third Payment according to such Purchaser’s Purchaser Commitment set forth opposite such Purchaser’s name on Schedule 1.01(b) (less any then unpaid Reimbursable Expenses) by wire transfer of immediately available funds.</w:t>
      </w:r>
    </w:p>
    <w:p>
      <w:pPr>
        <w:spacing w:after="0" w:line="67" w:lineRule="exact"/>
        <w:rPr>
          <w:rFonts w:ascii="Times New Roman" w:cs="Times New Roman" w:eastAsia="Times New Roman" w:hAnsi="Times New Roman"/>
          <w:sz w:val="18"/>
          <w:szCs w:val="18"/>
          <w:u w:val="single" w:color="auto"/>
          <w:color w:val="0000FF"/>
        </w:rPr>
      </w:pPr>
    </w:p>
    <w:p>
      <w:pPr>
        <w:ind w:left="700" w:hanging="264"/>
        <w:spacing w:after="0"/>
        <w:tabs>
          <w:tab w:leader="none" w:pos="7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Precedent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07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Precedent to the Closing Date and First Payment</w:t>
      </w:r>
      <w:r>
        <w:rPr>
          <w:rFonts w:ascii="Times New Roman" w:cs="Times New Roman" w:eastAsia="Times New Roman" w:hAnsi="Times New Roman"/>
          <w:sz w:val="18"/>
          <w:szCs w:val="18"/>
          <w:color w:val="auto"/>
        </w:rPr>
        <w:t>. The Company and each other Obligor, as applicable, shall have delivered to the Purchaser Agent:</w:t>
      </w:r>
    </w:p>
    <w:p>
      <w:pPr>
        <w:spacing w:after="0" w:line="53" w:lineRule="exact"/>
        <w:rPr>
          <w:rFonts w:ascii="Times New Roman" w:cs="Times New Roman" w:eastAsia="Times New Roman" w:hAnsi="Times New Roman"/>
          <w:sz w:val="18"/>
          <w:szCs w:val="18"/>
          <w:color w:val="auto"/>
        </w:rPr>
      </w:pPr>
    </w:p>
    <w:p>
      <w:pPr>
        <w:ind w:left="440" w:right="620" w:firstLine="948"/>
        <w:spacing w:after="0" w:line="282" w:lineRule="auto"/>
        <w:tabs>
          <w:tab w:leader="none" w:pos="1687"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the Security Agreement, the Guaranty, the Disclosure Letter and any other Transaction Documents, duly executed by each applicable Obligor;</w:t>
      </w:r>
    </w:p>
    <w:p>
      <w:pPr>
        <w:spacing w:after="0" w:line="53"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irrevocable Payment Notice in respect of the First Payment;</w:t>
      </w:r>
    </w:p>
    <w:p>
      <w:pPr>
        <w:spacing w:after="0" w:line="117" w:lineRule="exact"/>
        <w:rPr>
          <w:rFonts w:ascii="Times New Roman" w:cs="Times New Roman" w:eastAsia="Times New Roman" w:hAnsi="Times New Roman"/>
          <w:sz w:val="18"/>
          <w:szCs w:val="18"/>
          <w:color w:val="auto"/>
        </w:rPr>
      </w:pPr>
    </w:p>
    <w:p>
      <w:pPr>
        <w:ind w:left="440" w:right="400" w:firstLine="948"/>
        <w:spacing w:after="0" w:line="282" w:lineRule="auto"/>
        <w:tabs>
          <w:tab w:leader="none" w:pos="1677"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certificates in form and substance satisfactory to Purchaser Agent with respect to all property and general liability insurance policies of the Obligors;</w:t>
      </w:r>
    </w:p>
    <w:p>
      <w:pPr>
        <w:spacing w:after="0" w:line="53"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40" w:firstLine="948"/>
        <w:spacing w:after="0" w:line="261" w:lineRule="auto"/>
        <w:tabs>
          <w:tab w:leader="none" w:pos="1657"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secretary’s certificate executed by an officer of each Obligor attaching certified organizational documents, certificates of good standing and incumbency certificates of each Obligor and resolutions of the governing body of each Obligor authorizing such Obligor to enter into the Transaction Documents and perform the transactions contemplated thereby (including resolutions of the shareholders, if necessary under the applicable organizational documents to approve entry by an Obligor into the Transaction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6598285</wp:posOffset>
            </wp:positionH>
            <wp:positionV relativeFrom="paragraph">
              <wp:posOffset>-3705860</wp:posOffset>
            </wp:positionV>
            <wp:extent cx="3257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5755" cy="8255"/>
                    </a:xfrm>
                    <a:prstGeom prst="rect">
                      <a:avLst/>
                    </a:prstGeom>
                    <a:noFill/>
                  </pic:spPr>
                </pic:pic>
              </a:graphicData>
            </a:graphic>
          </wp:anchor>
        </w:drawing>
        <w:drawing>
          <wp:anchor simplePos="0" relativeHeight="251657728" behindDoc="1" locked="0" layoutInCell="0" allowOverlap="1">
            <wp:simplePos x="0" y="0"/>
            <wp:positionH relativeFrom="column">
              <wp:posOffset>1231900</wp:posOffset>
            </wp:positionH>
            <wp:positionV relativeFrom="paragraph">
              <wp:posOffset>-3568700</wp:posOffset>
            </wp:positionV>
            <wp:extent cx="532320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323205" cy="825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-3311525</wp:posOffset>
            </wp:positionV>
            <wp:extent cx="187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87325" cy="825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-3088640</wp:posOffset>
            </wp:positionV>
            <wp:extent cx="59575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5757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-2951480</wp:posOffset>
            </wp:positionV>
            <wp:extent cx="80581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-2745740</wp:posOffset>
            </wp:positionV>
            <wp:extent cx="61290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12902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-2608580</wp:posOffset>
            </wp:positionV>
            <wp:extent cx="66776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67766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-2471420</wp:posOffset>
            </wp:positionV>
            <wp:extent cx="435483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354830" cy="8255"/>
                    </a:xfrm>
                    <a:prstGeom prst="rect">
                      <a:avLst/>
                    </a:prstGeom>
                    <a:noFill/>
                  </pic:spPr>
                </pic:pic>
              </a:graphicData>
            </a:graphic>
          </wp:anchor>
        </w:drawing>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66" w:right="459" w:bottom="1440" w:gutter="0" w:footer="0" w:header="0"/>
        </w:sectPr>
      </w:pPr>
    </w:p>
    <w:bookmarkStart w:id="55" w:name="page56"/>
    <w:bookmarkEnd w:id="55"/>
    <w:p>
      <w:pPr>
        <w:ind w:right="100" w:firstLine="948"/>
        <w:spacing w:after="0" w:line="282" w:lineRule="auto"/>
        <w:tabs>
          <w:tab w:leader="none" w:pos="124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other consents required (if any) by the Obligors under any Material Contracts Applicable Law, the organizational documents of the Obligors and Governmental Authorities;</w:t>
      </w:r>
    </w:p>
    <w:p>
      <w:pPr>
        <w:spacing w:after="0" w:line="269"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UCC Financing Statements in proper form for filing against each Obligor;</w:t>
      </w:r>
    </w:p>
    <w:p>
      <w:pPr>
        <w:spacing w:after="0" w:line="117" w:lineRule="exact"/>
        <w:rPr>
          <w:rFonts w:ascii="Times New Roman" w:cs="Times New Roman" w:eastAsia="Times New Roman" w:hAnsi="Times New Roman"/>
          <w:sz w:val="18"/>
          <w:szCs w:val="18"/>
          <w:color w:val="auto"/>
        </w:rPr>
      </w:pPr>
    </w:p>
    <w:p>
      <w:pPr>
        <w:ind w:left="1180" w:hanging="232"/>
        <w:spacing w:after="0"/>
        <w:tabs>
          <w:tab w:leader="none" w:pos="11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short-form security agreements in respect of the Intellectual Property of each Obligor;</w:t>
      </w:r>
    </w:p>
    <w:p>
      <w:pPr>
        <w:spacing w:after="0" w:line="117" w:lineRule="exact"/>
        <w:rPr>
          <w:rFonts w:ascii="Times New Roman" w:cs="Times New Roman" w:eastAsia="Times New Roman" w:hAnsi="Times New Roman"/>
          <w:sz w:val="18"/>
          <w:szCs w:val="18"/>
          <w:color w:val="auto"/>
        </w:rPr>
      </w:pPr>
    </w:p>
    <w:p>
      <w:pPr>
        <w:ind w:left="1180" w:hanging="232"/>
        <w:spacing w:after="0"/>
        <w:tabs>
          <w:tab w:leader="none" w:pos="11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legal opinions of counsel to the Obligors;</w:t>
      </w:r>
    </w:p>
    <w:p>
      <w:pPr>
        <w:spacing w:after="0" w:line="117"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completed Perfection Certificate, duly executed by the Company;</w:t>
      </w:r>
    </w:p>
    <w:p>
      <w:pPr>
        <w:spacing w:after="0" w:line="117" w:lineRule="exact"/>
        <w:rPr>
          <w:rFonts w:ascii="Times New Roman" w:cs="Times New Roman" w:eastAsia="Times New Roman" w:hAnsi="Times New Roman"/>
          <w:sz w:val="18"/>
          <w:szCs w:val="18"/>
          <w:color w:val="auto"/>
        </w:rPr>
      </w:pPr>
    </w:p>
    <w:p>
      <w:pPr>
        <w:ind w:left="1220" w:hanging="272"/>
        <w:spacing w:after="0"/>
        <w:tabs>
          <w:tab w:leader="none" w:pos="12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Agreement, duly executed by the Company;</w:t>
      </w:r>
    </w:p>
    <w:p>
      <w:pPr>
        <w:spacing w:after="0" w:line="117" w:lineRule="exact"/>
        <w:rPr>
          <w:rFonts w:ascii="Times New Roman" w:cs="Times New Roman" w:eastAsia="Times New Roman" w:hAnsi="Times New Roman"/>
          <w:sz w:val="18"/>
          <w:szCs w:val="18"/>
          <w:color w:val="auto"/>
        </w:rPr>
      </w:pPr>
    </w:p>
    <w:p>
      <w:pPr>
        <w:ind w:right="180" w:firstLine="948"/>
        <w:spacing w:after="0" w:line="282" w:lineRule="auto"/>
        <w:tabs>
          <w:tab w:leader="none" w:pos="127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subordination agreement(s) in form and substance satisfactory to the Purchaser Agent in its sole discretion from the holders of the Existing Stockholder Indebtedness;</w:t>
      </w:r>
    </w:p>
    <w:p>
      <w:pPr>
        <w:spacing w:after="0" w:line="53" w:lineRule="exact"/>
        <w:rPr>
          <w:rFonts w:ascii="Times New Roman" w:cs="Times New Roman" w:eastAsia="Times New Roman" w:hAnsi="Times New Roman"/>
          <w:sz w:val="18"/>
          <w:szCs w:val="18"/>
          <w:color w:val="auto"/>
        </w:rPr>
      </w:pPr>
    </w:p>
    <w:p>
      <w:pPr>
        <w:ind w:right="340" w:firstLine="948"/>
        <w:spacing w:after="0" w:line="282" w:lineRule="auto"/>
        <w:tabs>
          <w:tab w:leader="none" w:pos="124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all Material Contracts, all amendments of such Material Contracts as of and through the Closing Date, the Dunkirk Lease and all documentation related or ancillary to the Dunkirk Lease and the Beike License Agreement;</w:t>
      </w:r>
    </w:p>
    <w:p>
      <w:pPr>
        <w:spacing w:after="0" w:line="53"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right="160" w:firstLine="948"/>
        <w:spacing w:after="0" w:line="266" w:lineRule="auto"/>
        <w:tabs>
          <w:tab w:leader="none" w:pos="121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(i) all Liens (other than Permitted Liens) will be terminated and (ii) the documents and/or filings evidencing the perfection of such Liens, including without limitation any financing statements, control agreements and/or landlord consents and bailee waivers, have or will, concurrently with the making of the First Payment on the Closing Date, be terminated; and</w:t>
      </w:r>
    </w:p>
    <w:p>
      <w:pPr>
        <w:spacing w:after="0" w:line="67" w:lineRule="exact"/>
        <w:rPr>
          <w:rFonts w:ascii="Times New Roman" w:cs="Times New Roman" w:eastAsia="Times New Roman" w:hAnsi="Times New Roman"/>
          <w:sz w:val="18"/>
          <w:szCs w:val="18"/>
          <w:color w:val="auto"/>
        </w:rPr>
      </w:pPr>
    </w:p>
    <w:p>
      <w:pPr>
        <w:ind w:firstLine="948"/>
        <w:spacing w:after="0" w:line="282" w:lineRule="auto"/>
        <w:tabs>
          <w:tab w:leader="none" w:pos="124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items as the Purchaser Agent may reasonably request, in each case in form and substance satisfactory to the Purchaser Agent and duly executed by all parties thereto.</w:t>
      </w:r>
    </w:p>
    <w:p>
      <w:pPr>
        <w:spacing w:after="0" w:line="5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Precedent to the Second Payment.</w:t>
      </w:r>
    </w:p>
    <w:p>
      <w:pPr>
        <w:spacing w:after="0" w:line="117"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Payment shall have occurred;</w:t>
      </w:r>
    </w:p>
    <w:p>
      <w:pPr>
        <w:spacing w:after="0" w:line="117"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Approval Date shall have occurred on or prior to June 30, 2024; and</w:t>
      </w:r>
    </w:p>
    <w:p>
      <w:pPr>
        <w:spacing w:after="0" w:line="117" w:lineRule="exact"/>
        <w:rPr>
          <w:rFonts w:ascii="Times New Roman" w:cs="Times New Roman" w:eastAsia="Times New Roman" w:hAnsi="Times New Roman"/>
          <w:sz w:val="18"/>
          <w:szCs w:val="18"/>
          <w:color w:val="auto"/>
        </w:rPr>
      </w:pPr>
    </w:p>
    <w:p>
      <w:pPr>
        <w:ind w:right="40" w:firstLine="948"/>
        <w:spacing w:after="0" w:line="282" w:lineRule="auto"/>
        <w:tabs>
          <w:tab w:leader="none" w:pos="123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Obligors elect to deliver a Second Payment Date Disclosure Notice, such Second Payment Date Disclosure Notice shall be satisfactory to the Purchaser Agent and the Purchasers in their sole discretion.</w:t>
      </w:r>
    </w:p>
    <w:p>
      <w:pPr>
        <w:spacing w:after="0" w:line="53" w:lineRule="exact"/>
        <w:rPr>
          <w:rFonts w:ascii="Times New Roman" w:cs="Times New Roman" w:eastAsia="Times New Roman" w:hAnsi="Times New Roman"/>
          <w:sz w:val="18"/>
          <w:szCs w:val="18"/>
          <w:color w:val="auto"/>
        </w:rPr>
      </w:pPr>
    </w:p>
    <w:p>
      <w:pPr>
        <w:ind w:left="740" w:hanging="321"/>
        <w:spacing w:after="0"/>
        <w:tabs>
          <w:tab w:leader="none" w:pos="740" w:val="left"/>
        </w:tabs>
        <w:numPr>
          <w:ilvl w:val="0"/>
          <w:numId w:val="5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Conditions Precedent to the Third Payment.</w:t>
      </w:r>
    </w:p>
    <w:p>
      <w:pPr>
        <w:spacing w:after="0" w:line="117" w:lineRule="exact"/>
        <w:rPr>
          <w:rFonts w:ascii="Times New Roman" w:cs="Times New Roman" w:eastAsia="Times New Roman" w:hAnsi="Times New Roman"/>
          <w:sz w:val="18"/>
          <w:szCs w:val="18"/>
          <w:u w:val="single" w:color="auto"/>
          <w:color w:val="0000FF"/>
        </w:rPr>
      </w:pPr>
    </w:p>
    <w:p>
      <w:pPr>
        <w:ind w:left="1240" w:hanging="292"/>
        <w:spacing w:after="0"/>
        <w:tabs>
          <w:tab w:leader="none" w:pos="1240" w:val="left"/>
        </w:tabs>
        <w:numPr>
          <w:ilvl w:val="1"/>
          <w:numId w:val="5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First Payment and Second Payment shall have occurred;</w:t>
      </w:r>
    </w:p>
    <w:p>
      <w:pPr>
        <w:spacing w:after="0" w:line="117" w:lineRule="exact"/>
        <w:rPr>
          <w:rFonts w:ascii="Times New Roman" w:cs="Times New Roman" w:eastAsia="Times New Roman" w:hAnsi="Times New Roman"/>
          <w:sz w:val="18"/>
          <w:szCs w:val="18"/>
          <w:u w:val="single" w:color="auto"/>
          <w:color w:val="0000FF"/>
        </w:rPr>
      </w:pPr>
    </w:p>
    <w:p>
      <w:pPr>
        <w:ind w:left="1240" w:hanging="292"/>
        <w:spacing w:after="0"/>
        <w:tabs>
          <w:tab w:leader="none" w:pos="1240" w:val="left"/>
        </w:tabs>
        <w:numPr>
          <w:ilvl w:val="1"/>
          <w:numId w:val="5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Third Purchaser Payment Date shall be March 31, 2026;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-384810</wp:posOffset>
            </wp:positionV>
            <wp:extent cx="220281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202815" cy="8890"/>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-179070</wp:posOffset>
            </wp:positionV>
            <wp:extent cx="296608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966085" cy="825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26035</wp:posOffset>
            </wp:positionV>
            <wp:extent cx="31546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3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540"/>
          </w:cols>
          <w:pgMar w:left="880" w:top="270" w:right="479" w:bottom="1440" w:gutter="0" w:footer="0" w:header="0"/>
        </w:sectPr>
      </w:pPr>
    </w:p>
    <w:bookmarkStart w:id="56" w:name="page57"/>
    <w:bookmarkEnd w:id="56"/>
    <w:p>
      <w:pPr>
        <w:ind w:left="444" w:right="300" w:firstLine="948"/>
        <w:spacing w:after="0" w:line="282" w:lineRule="auto"/>
        <w:tabs>
          <w:tab w:leader="none" w:pos="1681" w:val="left"/>
        </w:tabs>
        <w:numPr>
          <w:ilvl w:val="1"/>
          <w:numId w:val="5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Obligors elect to deliver a Third Payment Date Disclosure Notice, such Third Payment Date Disclosure Notice shall be satisfactory to the Purchaser Agent and the Purchasers in their sole discretion.</w:t>
      </w:r>
    </w:p>
    <w:p>
      <w:pPr>
        <w:spacing w:after="0" w:line="53" w:lineRule="exact"/>
        <w:rPr>
          <w:rFonts w:ascii="Times New Roman" w:cs="Times New Roman" w:eastAsia="Times New Roman" w:hAnsi="Times New Roman"/>
          <w:sz w:val="18"/>
          <w:szCs w:val="18"/>
          <w:u w:val="single" w:color="auto"/>
          <w:color w:val="0000FF"/>
        </w:rPr>
      </w:pPr>
    </w:p>
    <w:p>
      <w:pPr>
        <w:ind w:left="1164" w:hanging="301"/>
        <w:spacing w:after="0"/>
        <w:tabs>
          <w:tab w:leader="none" w:pos="1164" w:val="left"/>
        </w:tabs>
        <w:numPr>
          <w:ilvl w:val="0"/>
          <w:numId w:val="5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0000"/>
          <w:strike w:val="1"/>
        </w:rPr>
        <w:t xml:space="preserve">(iii) </w:t>
      </w:r>
      <w:r>
        <w:rPr>
          <w:rFonts w:ascii="Times New Roman" w:cs="Times New Roman" w:eastAsia="Times New Roman" w:hAnsi="Times New Roman"/>
          <w:sz w:val="18"/>
          <w:szCs w:val="18"/>
          <w:u w:val="single" w:color="auto"/>
          <w:color w:val="0000FF"/>
          <w:strike w:val="1"/>
        </w:rPr>
        <w:t>Conditions Precedent to each Purchaser Payment.</w:t>
      </w:r>
    </w:p>
    <w:p>
      <w:pPr>
        <w:spacing w:after="0" w:line="117" w:lineRule="exact"/>
        <w:rPr>
          <w:rFonts w:ascii="Times New Roman" w:cs="Times New Roman" w:eastAsia="Times New Roman" w:hAnsi="Times New Roman"/>
          <w:sz w:val="18"/>
          <w:szCs w:val="18"/>
          <w:u w:val="single" w:color="auto"/>
          <w:color w:val="0000FF"/>
        </w:rPr>
      </w:pPr>
    </w:p>
    <w:p>
      <w:pPr>
        <w:ind w:left="444" w:right="100" w:firstLine="948"/>
        <w:spacing w:after="0" w:line="254" w:lineRule="auto"/>
        <w:tabs>
          <w:tab w:leader="none" w:pos="169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in Article III hereof shall be true, correct and complete in all material respects on the date of the Payment Notice (except with respect to any Payment Notice delivered prior to the Closing Date) and on the date of the applicable payment (except that such materiality qualifier shall not be applicable to any representations and warranties that already are qualified or modified by materiality in the text thereof); provided, further, that those representations and warranties expressly referring to a specific date shall be true, correct and complete in all material respects as of such date (except that such materiality qualifier shall not be applicable to any representations and warranties that already are qualified or modified by materiality in the text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solely in respect of the Second Payment </w:t>
      </w:r>
      <w:r>
        <w:rPr>
          <w:rFonts w:ascii="Times New Roman" w:cs="Times New Roman" w:eastAsia="Times New Roman" w:hAnsi="Times New Roman"/>
          <w:sz w:val="18"/>
          <w:szCs w:val="18"/>
          <w:color w:val="0000FF"/>
        </w:rPr>
        <w:t>and Third Payment</w:t>
      </w:r>
      <w:r>
        <w:rPr>
          <w:rFonts w:ascii="Times New Roman" w:cs="Times New Roman" w:eastAsia="Times New Roman" w:hAnsi="Times New Roman"/>
          <w:sz w:val="18"/>
          <w:szCs w:val="18"/>
          <w:color w:val="auto"/>
        </w:rPr>
        <w:t xml:space="preserve">, such representations and warranties shall be qualified by the matters disclosed in the Second Payment Date Disclosure Notice </w:t>
      </w:r>
      <w:r>
        <w:rPr>
          <w:rFonts w:ascii="Times New Roman" w:cs="Times New Roman" w:eastAsia="Times New Roman" w:hAnsi="Times New Roman"/>
          <w:sz w:val="18"/>
          <w:szCs w:val="18"/>
          <w:color w:val="0000FF"/>
        </w:rPr>
        <w:t>or Third Payment Date Disclosure Notice, as applicable</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444" w:right="140" w:firstLine="948"/>
        <w:spacing w:after="0" w:line="282" w:lineRule="auto"/>
        <w:tabs>
          <w:tab w:leader="none" w:pos="168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Put Option Event, nor event or circumstance that with the giving of notice or passage of time or both would constitute a Put Option Event, shall have occurred and be continuing;</w:t>
      </w:r>
    </w:p>
    <w:p>
      <w:pPr>
        <w:spacing w:after="0" w:line="53" w:lineRule="exact"/>
        <w:rPr>
          <w:rFonts w:ascii="Times New Roman" w:cs="Times New Roman" w:eastAsia="Times New Roman" w:hAnsi="Times New Roman"/>
          <w:sz w:val="18"/>
          <w:szCs w:val="18"/>
          <w:color w:val="auto"/>
        </w:rPr>
      </w:pPr>
    </w:p>
    <w:p>
      <w:pPr>
        <w:ind w:left="444" w:firstLine="948"/>
        <w:spacing w:after="0" w:line="282" w:lineRule="auto"/>
        <w:tabs>
          <w:tab w:leader="none" w:pos="168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deducted from the applicable Purchaser Payment, the Company shall have paid all Reimbursable Expenses then due in accordance with </w:t>
      </w:r>
      <w:r>
        <w:rPr>
          <w:rFonts w:ascii="Times New Roman" w:cs="Times New Roman" w:eastAsia="Times New Roman" w:hAnsi="Times New Roman"/>
          <w:sz w:val="18"/>
          <w:szCs w:val="18"/>
          <w:u w:val="single" w:color="auto"/>
          <w:color w:val="auto"/>
        </w:rPr>
        <w:t>Section 2.02(d)</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4" w:right="180" w:firstLine="948"/>
        <w:spacing w:after="0" w:line="261" w:lineRule="auto"/>
        <w:tabs>
          <w:tab w:leader="none" w:pos="168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w:t>
      </w:r>
      <w:r>
        <w:rPr>
          <w:rFonts w:ascii="Times New Roman" w:cs="Times New Roman" w:eastAsia="Times New Roman" w:hAnsi="Times New Roman"/>
          <w:sz w:val="18"/>
          <w:szCs w:val="18"/>
          <w:u w:val="single" w:color="auto"/>
          <w:color w:val="0000FF"/>
        </w:rPr>
        <w:t>(x)</w:t>
      </w:r>
      <w:r>
        <w:rPr>
          <w:rFonts w:ascii="Times New Roman" w:cs="Times New Roman" w:eastAsia="Times New Roman" w:hAnsi="Times New Roman"/>
          <w:sz w:val="18"/>
          <w:szCs w:val="18"/>
          <w:color w:val="auto"/>
        </w:rPr>
        <w:t xml:space="preserve"> the Second Payment, by 12:00 noon Eastern time fifteen (15) Business Days (or such shorter period as may be determined by Purchaser Agent and the Purchasers in their sole discretion) prior to the Second Purchaser Payment Date, the Company shall have delivered to Purchaser Agent a duly executed Payment Notice </w:t>
      </w:r>
      <w:r>
        <w:rPr>
          <w:rFonts w:ascii="Times New Roman" w:cs="Times New Roman" w:eastAsia="Times New Roman" w:hAnsi="Times New Roman"/>
          <w:sz w:val="18"/>
          <w:szCs w:val="18"/>
          <w:color w:val="0000FF"/>
        </w:rPr>
        <w:t>and (y) the Third Payment, on the effective date of the Second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Company shall have delivered to Purchaser Agent a duly executed Payment Notice</w:t>
      </w:r>
      <w:r>
        <w:rPr>
          <w:rFonts w:ascii="Times New Roman" w:cs="Times New Roman" w:eastAsia="Times New Roman" w:hAnsi="Times New Roman"/>
          <w:sz w:val="18"/>
          <w:szCs w:val="18"/>
          <w:color w:val="000000"/>
        </w:rPr>
        <w:t>;</w:t>
      </w:r>
    </w:p>
    <w:p>
      <w:pPr>
        <w:spacing w:after="0" w:line="71" w:lineRule="exact"/>
        <w:rPr>
          <w:rFonts w:ascii="Times New Roman" w:cs="Times New Roman" w:eastAsia="Times New Roman" w:hAnsi="Times New Roman"/>
          <w:sz w:val="18"/>
          <w:szCs w:val="18"/>
          <w:color w:val="auto"/>
        </w:rPr>
      </w:pPr>
    </w:p>
    <w:p>
      <w:pPr>
        <w:ind w:left="1664" w:hanging="272"/>
        <w:spacing w:after="0"/>
        <w:tabs>
          <w:tab w:leader="none" w:pos="166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Purchaser Agent and the Purchasers determine to its satisfaction that there has not been any Material Adverse Effect;</w:t>
      </w:r>
    </w:p>
    <w:p>
      <w:pPr>
        <w:spacing w:after="0" w:line="117" w:lineRule="exact"/>
        <w:rPr>
          <w:rFonts w:ascii="Times New Roman" w:cs="Times New Roman" w:eastAsia="Times New Roman" w:hAnsi="Times New Roman"/>
          <w:sz w:val="18"/>
          <w:szCs w:val="18"/>
          <w:color w:val="auto"/>
        </w:rPr>
      </w:pPr>
    </w:p>
    <w:p>
      <w:pPr>
        <w:ind w:left="444" w:right="140" w:firstLine="948"/>
        <w:spacing w:after="0" w:line="266" w:lineRule="auto"/>
        <w:tabs>
          <w:tab w:leader="none" w:pos="166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provided (i) updates to the information in the Perfection Certificate since the Closing Date or the most recent update thereto and (ii) all financial statements, reports or notices required to have been delivered under the Transaction Documents, including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of this Agreement;</w:t>
      </w:r>
    </w:p>
    <w:p>
      <w:pPr>
        <w:spacing w:after="0" w:line="67" w:lineRule="exact"/>
        <w:rPr>
          <w:rFonts w:ascii="Times New Roman" w:cs="Times New Roman" w:eastAsia="Times New Roman" w:hAnsi="Times New Roman"/>
          <w:sz w:val="18"/>
          <w:szCs w:val="18"/>
          <w:color w:val="auto"/>
        </w:rPr>
      </w:pPr>
    </w:p>
    <w:p>
      <w:pPr>
        <w:ind w:left="1684" w:hanging="292"/>
        <w:spacing w:after="0"/>
        <w:tabs>
          <w:tab w:leader="none" w:pos="168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delivered to Purchaser Agent an officer’s certificate certifying as to the conditions in </w:t>
      </w:r>
      <w:r>
        <w:rPr>
          <w:rFonts w:ascii="Times New Roman" w:cs="Times New Roman" w:eastAsia="Times New Roman" w:hAnsi="Times New Roman"/>
          <w:sz w:val="18"/>
          <w:szCs w:val="18"/>
          <w:u w:val="single" w:color="auto"/>
          <w:color w:val="auto"/>
        </w:rPr>
        <w:t>Section 2.03(b)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882650</wp:posOffset>
            </wp:positionH>
            <wp:positionV relativeFrom="paragraph">
              <wp:posOffset>-3676650</wp:posOffset>
            </wp:positionV>
            <wp:extent cx="58978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-3539490</wp:posOffset>
            </wp:positionV>
            <wp:extent cx="35572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557270" cy="8890"/>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-3333750</wp:posOffset>
            </wp:positionV>
            <wp:extent cx="266573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65730" cy="8255"/>
                    </a:xfrm>
                    <a:prstGeom prst="rect">
                      <a:avLst/>
                    </a:prstGeom>
                    <a:noFill/>
                  </pic:spPr>
                </pic:pic>
              </a:graphicData>
            </a:graphic>
          </wp:anchor>
        </w:drawing>
        <w:drawing>
          <wp:anchor simplePos="0" relativeHeight="251657728" behindDoc="1" locked="0" layoutInCell="0" allowOverlap="1">
            <wp:simplePos x="0" y="0"/>
            <wp:positionH relativeFrom="column">
              <wp:posOffset>676910</wp:posOffset>
            </wp:positionH>
            <wp:positionV relativeFrom="paragraph">
              <wp:posOffset>-2305050</wp:posOffset>
            </wp:positionV>
            <wp:extent cx="90868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wp:posOffset>
            </wp:positionH>
            <wp:positionV relativeFrom="paragraph">
              <wp:posOffset>-2339340</wp:posOffset>
            </wp:positionV>
            <wp:extent cx="90424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04240" cy="8255"/>
                    </a:xfrm>
                    <a:prstGeom prst="rect">
                      <a:avLst/>
                    </a:prstGeom>
                    <a:noFill/>
                  </pic:spPr>
                </pic:pic>
              </a:graphicData>
            </a:graphic>
          </wp:anchor>
        </w:drawing>
        <w:drawing>
          <wp:anchor simplePos="0" relativeHeight="251657728" behindDoc="1" locked="0" layoutInCell="0" allowOverlap="1">
            <wp:simplePos x="0" y="0"/>
            <wp:positionH relativeFrom="column">
              <wp:posOffset>1097280</wp:posOffset>
            </wp:positionH>
            <wp:positionV relativeFrom="paragraph">
              <wp:posOffset>-2167890</wp:posOffset>
            </wp:positionV>
            <wp:extent cx="25800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80005" cy="8255"/>
                    </a:xfrm>
                    <a:prstGeom prst="rect">
                      <a:avLst/>
                    </a:prstGeom>
                    <a:noFill/>
                  </pic:spPr>
                </pic:pic>
              </a:graphicData>
            </a:graphic>
          </wp:anchor>
        </w:drawing>
        <w:drawing>
          <wp:anchor simplePos="0" relativeHeight="251657728" behindDoc="1" locked="0" layoutInCell="0" allowOverlap="1">
            <wp:simplePos x="0" y="0"/>
            <wp:positionH relativeFrom="column">
              <wp:posOffset>1101725</wp:posOffset>
            </wp:positionH>
            <wp:positionV relativeFrom="paragraph">
              <wp:posOffset>-2202180</wp:posOffset>
            </wp:positionV>
            <wp:extent cx="25793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79370" cy="8890"/>
                    </a:xfrm>
                    <a:prstGeom prst="rect">
                      <a:avLst/>
                    </a:prstGeom>
                    <a:noFill/>
                  </pic:spPr>
                </pic:pic>
              </a:graphicData>
            </a:graphic>
          </wp:anchor>
        </w:drawing>
        <w:drawing>
          <wp:anchor simplePos="0" relativeHeight="251657728" behindDoc="1" locked="0" layoutInCell="0" allowOverlap="1">
            <wp:simplePos x="0" y="0"/>
            <wp:positionH relativeFrom="column">
              <wp:posOffset>1791335</wp:posOffset>
            </wp:positionH>
            <wp:positionV relativeFrom="paragraph">
              <wp:posOffset>-1276350</wp:posOffset>
            </wp:positionV>
            <wp:extent cx="1625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-1002030</wp:posOffset>
            </wp:positionV>
            <wp:extent cx="3497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97580" cy="8255"/>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-1036320</wp:posOffset>
            </wp:positionV>
            <wp:extent cx="3497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97580"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-864870</wp:posOffset>
            </wp:positionV>
            <wp:extent cx="396049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960495" cy="8890"/>
                    </a:xfrm>
                    <a:prstGeom prst="rect">
                      <a:avLst/>
                    </a:prstGeom>
                    <a:noFill/>
                  </pic:spPr>
                </pic:pic>
              </a:graphicData>
            </a:graphic>
          </wp:anchor>
        </w:drawing>
      </w:r>
    </w:p>
    <w:p>
      <w:pPr>
        <w:spacing w:after="0" w:line="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FF0000"/>
          <w:strike w:val="1"/>
        </w:rPr>
        <w:t>iii</w:t>
      </w:r>
      <w:r>
        <w:rPr>
          <w:rFonts w:ascii="Times New Roman" w:cs="Times New Roman" w:eastAsia="Times New Roman" w:hAnsi="Times New Roman"/>
          <w:sz w:val="18"/>
          <w:szCs w:val="18"/>
          <w:color w:val="auto"/>
        </w:rPr>
        <w:t xml:space="preserve">iv)(A)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and</w:t>
      </w:r>
    </w:p>
    <w:p>
      <w:pPr>
        <w:spacing w:after="0" w:line="99"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(H) The Purchaser Commitments shall not have expired.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Purchaser Commitments shall terminate to the extent funded and shall terminate</w:t>
      </w:r>
      <w:r>
        <w:rPr>
          <w:rFonts w:ascii="Times New Roman" w:cs="Times New Roman" w:eastAsia="Times New Roman" w:hAnsi="Times New Roman"/>
          <w:sz w:val="18"/>
          <w:szCs w:val="18"/>
          <w:u w:val="single" w:color="auto"/>
          <w:color w:val="0000FF"/>
        </w:rPr>
        <w:t>, (i) with respect to the Second Payment,</w:t>
      </w:r>
      <w:r>
        <w:rPr>
          <w:rFonts w:ascii="Times New Roman" w:cs="Times New Roman" w:eastAsia="Times New Roman" w:hAnsi="Times New Roman"/>
          <w:sz w:val="18"/>
          <w:szCs w:val="18"/>
          <w:color w:val="auto"/>
        </w:rPr>
        <w:t xml:space="preserve"> on the earliest of</w:t>
      </w:r>
    </w:p>
    <w:p>
      <w:pPr>
        <w:spacing w:after="0" w:line="27" w:lineRule="exact"/>
        <w:rPr>
          <w:sz w:val="20"/>
          <w:szCs w:val="20"/>
          <w:color w:val="auto"/>
        </w:rPr>
      </w:pPr>
    </w:p>
    <w:p>
      <w:pPr>
        <w:ind w:left="4" w:right="100" w:hanging="4"/>
        <w:spacing w:after="0" w:line="255" w:lineRule="auto"/>
        <w:tabs>
          <w:tab w:leader="none" w:pos="29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Purchaser Payment Date and (B)(1) if the FDA Approval Date has not occurred on or prior to June 30, 2024, June 30, 2024 or (2) if the FDA Approval Date has occurred on or prior to June 30, 2024, the date which is thirty (30) Business Days after the FDA Approval Date</w:t>
      </w:r>
      <w:r>
        <w:rPr>
          <w:rFonts w:ascii="Times New Roman" w:cs="Times New Roman" w:eastAsia="Times New Roman" w:hAnsi="Times New Roman"/>
          <w:sz w:val="18"/>
          <w:szCs w:val="18"/>
          <w:u w:val="single" w:color="auto"/>
          <w:color w:val="0000FF"/>
        </w:rPr>
        <w:t>, and (ii)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respect to the Third Payment, on March 31, 2026</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4157345</wp:posOffset>
            </wp:positionH>
            <wp:positionV relativeFrom="paragraph">
              <wp:posOffset>-409575</wp:posOffset>
            </wp:positionV>
            <wp:extent cx="18516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851660" cy="8255"/>
                    </a:xfrm>
                    <a:prstGeom prst="rect">
                      <a:avLst/>
                    </a:prstGeom>
                    <a:noFill/>
                  </pic:spPr>
                </pic:pic>
              </a:graphicData>
            </a:graphic>
          </wp:anchor>
        </w:drawing>
        <w:drawing>
          <wp:anchor simplePos="0" relativeHeight="251657728" behindDoc="1" locked="0" layoutInCell="0" allowOverlap="1">
            <wp:simplePos x="0" y="0"/>
            <wp:positionH relativeFrom="column">
              <wp:posOffset>6231890</wp:posOffset>
            </wp:positionH>
            <wp:positionV relativeFrom="paragraph">
              <wp:posOffset>-135255</wp:posOffset>
            </wp:positionV>
            <wp:extent cx="62547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54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wp:posOffset>
            </wp:positionV>
            <wp:extent cx="22459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9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4"/>
          </w:cols>
          <w:pgMar w:left="436" w:top="270" w:right="479" w:bottom="1440" w:gutter="0" w:footer="0" w:header="0"/>
        </w:sectPr>
      </w:pPr>
    </w:p>
    <w:bookmarkStart w:id="57" w:name="page58"/>
    <w:bookmarkEnd w:id="57"/>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the foregoing and anything else to the contrary herein, (A) promptly following the FDA Approval Date, the Company shall deliver to Purchaser Agent the items described in the preceding clauses (D), (F)(i) and (G) of this </w:t>
      </w:r>
      <w:r>
        <w:rPr>
          <w:rFonts w:ascii="Times New Roman" w:cs="Times New Roman" w:eastAsia="Times New Roman" w:hAnsi="Times New Roman"/>
          <w:sz w:val="18"/>
          <w:szCs w:val="18"/>
          <w:u w:val="single" w:color="auto"/>
          <w:color w:val="auto"/>
        </w:rPr>
        <w:t>Section 2.03(b)(</w:t>
      </w:r>
      <w:r>
        <w:rPr>
          <w:rFonts w:ascii="Times New Roman" w:cs="Times New Roman" w:eastAsia="Times New Roman" w:hAnsi="Times New Roman"/>
          <w:sz w:val="18"/>
          <w:szCs w:val="18"/>
          <w:u w:val="single" w:color="auto"/>
          <w:color w:val="FF0000"/>
          <w:strike w:val="1"/>
        </w:rPr>
        <w:t>iii</w:t>
      </w:r>
      <w:r>
        <w:rPr>
          <w:rFonts w:ascii="Times New Roman" w:cs="Times New Roman" w:eastAsia="Times New Roman" w:hAnsi="Times New Roman"/>
          <w:sz w:val="18"/>
          <w:szCs w:val="18"/>
          <w:u w:val="single" w:color="auto"/>
          <w:color w:val="0000FF"/>
        </w:rPr>
        <w:t>iv</w:t>
      </w:r>
      <w:r>
        <w:rPr>
          <w:rFonts w:ascii="Times New Roman" w:cs="Times New Roman" w:eastAsia="Times New Roman" w:hAnsi="Times New Roman"/>
          <w:sz w:val="18"/>
          <w:szCs w:val="18"/>
          <w:color w:val="auto"/>
        </w:rPr>
        <w:t>), and (B) Purchaser Agent and the Purchasers may at any time in their sole discretion, by written notice (such notice, a “</w:t>
      </w:r>
      <w:r>
        <w:rPr>
          <w:rFonts w:ascii="Times New Roman" w:cs="Times New Roman" w:eastAsia="Times New Roman" w:hAnsi="Times New Roman"/>
          <w:sz w:val="18"/>
          <w:szCs w:val="18"/>
          <w:u w:val="single" w:color="auto"/>
          <w:color w:val="auto"/>
        </w:rPr>
        <w:t>Funding Election Notice</w:t>
      </w:r>
      <w:r>
        <w:rPr>
          <w:rFonts w:ascii="Times New Roman" w:cs="Times New Roman" w:eastAsia="Times New Roman" w:hAnsi="Times New Roman"/>
          <w:sz w:val="18"/>
          <w:szCs w:val="18"/>
          <w:color w:val="auto"/>
        </w:rPr>
        <w:t xml:space="preserve">”) to the Company with five (5) Business Days prior notice (or such shorter period to which the Company may agree in its sole discretion), designate the Second Purchaser Payment Date and fund the Second Payment, </w:t>
      </w:r>
      <w:r>
        <w:rPr>
          <w:rFonts w:ascii="Times New Roman" w:cs="Times New Roman" w:eastAsia="Times New Roman" w:hAnsi="Times New Roman"/>
          <w:sz w:val="18"/>
          <w:szCs w:val="18"/>
          <w:u w:val="single" w:color="auto"/>
          <w:color w:val="0000FF"/>
        </w:rPr>
        <w:t>or designate the Third Purchaser Payment Date and fund the Third Payment,</w:t>
      </w:r>
      <w:r>
        <w:rPr>
          <w:rFonts w:ascii="Times New Roman" w:cs="Times New Roman" w:eastAsia="Times New Roman" w:hAnsi="Times New Roman"/>
          <w:sz w:val="18"/>
          <w:szCs w:val="18"/>
          <w:color w:val="auto"/>
        </w:rPr>
        <w:t xml:space="preserve"> as applicable,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5312410</wp:posOffset>
            </wp:positionH>
            <wp:positionV relativeFrom="paragraph">
              <wp:posOffset>-411480</wp:posOffset>
            </wp:positionV>
            <wp:extent cx="857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0</wp:posOffset>
            </wp:positionV>
            <wp:extent cx="35229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55" w:lineRule="exact"/>
        <w:rPr>
          <w:sz w:val="20"/>
          <w:szCs w:val="20"/>
          <w:color w:val="auto"/>
        </w:rPr>
      </w:pPr>
    </w:p>
    <w:p>
      <w:pPr>
        <w:ind w:left="680" w:hanging="244"/>
        <w:spacing w:after="0"/>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Post-Closing Items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61" w:lineRule="auto"/>
        <w:tabs>
          <w:tab w:leader="none" w:pos="107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30 days of the Closing Date, duly executed Control Agreements (or, with respect to any bank account of an Obligor located outside of the United States, other documentation satisfactory to Purchaser Agent in its sole discretion in order to provide Purchaser Agent with a first-priority perfected security interest in such account) in respect of each of the deposit accounts and securities accounts of each Obligor other than Excluded Accounts.</w:t>
      </w:r>
    </w:p>
    <w:p>
      <w:pPr>
        <w:spacing w:after="0" w:line="71" w:lineRule="exact"/>
        <w:rPr>
          <w:rFonts w:ascii="Times New Roman" w:cs="Times New Roman" w:eastAsia="Times New Roman" w:hAnsi="Times New Roman"/>
          <w:sz w:val="18"/>
          <w:szCs w:val="18"/>
          <w:color w:val="auto"/>
        </w:rPr>
      </w:pPr>
    </w:p>
    <w:p>
      <w:pPr>
        <w:ind w:left="440" w:firstLine="419"/>
        <w:spacing w:after="0" w:line="266" w:lineRule="auto"/>
        <w:tabs>
          <w:tab w:leader="none" w:pos="112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10 Business Days of the Closing Date, additional insured or lenders’ loss payee endorsements, as applicable, in each case in favor of Purchaser Agent and in form and substance satisfactory to Purchaser Agent with respect to all property and general liability insurance policies of the Obligors.</w:t>
      </w:r>
    </w:p>
    <w:p>
      <w:pPr>
        <w:spacing w:after="0" w:line="67" w:lineRule="exact"/>
        <w:rPr>
          <w:rFonts w:ascii="Times New Roman" w:cs="Times New Roman" w:eastAsia="Times New Roman" w:hAnsi="Times New Roman"/>
          <w:sz w:val="18"/>
          <w:szCs w:val="18"/>
          <w:color w:val="auto"/>
        </w:rPr>
      </w:pPr>
    </w:p>
    <w:p>
      <w:pPr>
        <w:jc w:val="both"/>
        <w:ind w:left="440" w:right="440" w:firstLine="419"/>
        <w:spacing w:after="0" w:line="266" w:lineRule="auto"/>
        <w:tabs>
          <w:tab w:leader="none" w:pos="117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30 days of the Closing Date, a permanent record, in form reasonably satisfactory to Purchaser Agent, of all documents and materials uploaded to the Data Room related to the transactions contemplated by this Agreement prior to the Closing Date (e.g., a USB drive containing copies of such documents and deliverables).</w:t>
      </w:r>
    </w:p>
    <w:p>
      <w:pPr>
        <w:spacing w:after="0" w:line="67" w:lineRule="exact"/>
        <w:rPr>
          <w:rFonts w:ascii="Times New Roman" w:cs="Times New Roman" w:eastAsia="Times New Roman" w:hAnsi="Times New Roman"/>
          <w:sz w:val="18"/>
          <w:szCs w:val="18"/>
          <w:color w:val="auto"/>
        </w:rPr>
      </w:pPr>
    </w:p>
    <w:p>
      <w:pPr>
        <w:ind w:left="440" w:firstLine="419"/>
        <w:spacing w:after="0" w:line="282" w:lineRule="auto"/>
        <w:tabs>
          <w:tab w:leader="none" w:pos="116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application of </w:t>
      </w:r>
      <w:r>
        <w:rPr>
          <w:rFonts w:ascii="Times New Roman" w:cs="Times New Roman" w:eastAsia="Times New Roman" w:hAnsi="Times New Roman"/>
          <w:sz w:val="18"/>
          <w:szCs w:val="18"/>
          <w:u w:val="single" w:color="auto"/>
          <w:color w:val="auto"/>
        </w:rPr>
        <w:t>Section 5.06(e)</w:t>
      </w:r>
      <w:r>
        <w:rPr>
          <w:rFonts w:ascii="Times New Roman" w:cs="Times New Roman" w:eastAsia="Times New Roman" w:hAnsi="Times New Roman"/>
          <w:sz w:val="18"/>
          <w:szCs w:val="18"/>
          <w:color w:val="auto"/>
        </w:rPr>
        <w:t>, within 90 days of the Closing Date, the Obligors as of the Closing Date shall hold all of their cash and Cash Equivalents in bank accounts maintained at Globally Systemically Important Banks.</w:t>
      </w:r>
    </w:p>
    <w:p>
      <w:pPr>
        <w:spacing w:after="0" w:line="53"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1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at least 180 days following the Closing Date, the Company and its Subsidiaries shall use their commercially reasonable best efforts to deliver to Purchaser Agent a landlord waiver and collateral access agreement with regard to each of the Obligors’ locations set forth in the Perfection Certificate, except for the property located at 3805 Lake Shore Drive E, Dunkirk, NY 14048.</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56" w:lineRule="auto"/>
        <w:tabs>
          <w:tab w:leader="none" w:pos="116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90 days of the Closing Date, the Company and its Subsidiaries shall deliver to Purchaser Agent a leasehold mortgage or deed of trust, as applicable, in form and substance reasonably satisfactory to Purchaser Agent in favor of the Purchaser Agent for the benefit of the Purchasers with respect to the properties listed on </w:t>
      </w:r>
      <w:r>
        <w:rPr>
          <w:rFonts w:ascii="Times New Roman" w:cs="Times New Roman" w:eastAsia="Times New Roman" w:hAnsi="Times New Roman"/>
          <w:sz w:val="18"/>
          <w:szCs w:val="18"/>
          <w:u w:val="single" w:color="auto"/>
          <w:color w:val="auto"/>
        </w:rPr>
        <w:t>Schedule 2.03(c)(vi)</w:t>
      </w:r>
      <w:r>
        <w:rPr>
          <w:rFonts w:ascii="Times New Roman" w:cs="Times New Roman" w:eastAsia="Times New Roman" w:hAnsi="Times New Roman"/>
          <w:sz w:val="18"/>
          <w:szCs w:val="18"/>
          <w:color w:val="auto"/>
        </w:rPr>
        <w:t xml:space="preserve"> to the Disclosure Letter;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such mortgages and deeds of trust shall not (i) require the Company and its Subsidiaries to restate (or bringdown) the representations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of this Agreement (other than representations and warranties customary for mortgages and deeds of trust) or (ii) include representations, covenants or conditions that conflict with or contravene the provisions of this Agreement.</w:t>
      </w:r>
    </w:p>
    <w:p>
      <w:pPr>
        <w:spacing w:after="0" w:line="79" w:lineRule="exact"/>
        <w:rPr>
          <w:rFonts w:ascii="Times New Roman" w:cs="Times New Roman" w:eastAsia="Times New Roman" w:hAnsi="Times New Roman"/>
          <w:sz w:val="18"/>
          <w:szCs w:val="18"/>
          <w:color w:val="auto"/>
        </w:rPr>
      </w:pPr>
    </w:p>
    <w:p>
      <w:pPr>
        <w:ind w:left="1220" w:hanging="361"/>
        <w:spacing w:after="0"/>
        <w:tabs>
          <w:tab w:leader="none" w:pos="12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180 days of the Closing Date, the Company shall sell for cash the corporate bonds and European bonds listed on </w:t>
      </w:r>
      <w:r>
        <w:rPr>
          <w:rFonts w:ascii="Times New Roman" w:cs="Times New Roman" w:eastAsia="Times New Roman" w:hAnsi="Times New Roman"/>
          <w:sz w:val="18"/>
          <w:szCs w:val="18"/>
          <w:u w:val="single" w:color="auto"/>
          <w:color w:val="auto"/>
        </w:rPr>
        <w:t>Schedule</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5.11(a)(v)</w:t>
      </w:r>
      <w:r>
        <w:rPr>
          <w:rFonts w:ascii="Times New Roman" w:cs="Times New Roman" w:eastAsia="Times New Roman" w:hAnsi="Times New Roman"/>
          <w:sz w:val="18"/>
          <w:szCs w:val="18"/>
          <w:color w:val="auto"/>
        </w:rPr>
        <w:t xml:space="preserve"> to the Disclosure Letter.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0"/>
          </w:cols>
          <w:pgMar w:left="440" w:top="270"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2.04 </w:t>
      </w:r>
      <w:r>
        <w:rPr>
          <w:rFonts w:ascii="Times New Roman" w:cs="Times New Roman" w:eastAsia="Times New Roman" w:hAnsi="Times New Roman"/>
          <w:sz w:val="18"/>
          <w:szCs w:val="18"/>
          <w:u w:val="single" w:color="auto"/>
          <w:color w:val="auto"/>
        </w:rPr>
        <w:t>No Assumed Obligations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 provision in this Agreement or any other writing to the contrary, the Purchasers are acquiring only the Revenue Interests and are not assuming any liability or obligation of the Company or any Affiliate of whatever nature, whether presently in existence or arising or asserted hereafter, whether under any Transaction Document or otherwise. All such liabilities and obligations shall be retained by and remain obligations and liabilities of the Company or their Affiliates (the “</w:t>
      </w:r>
      <w:r>
        <w:rPr>
          <w:rFonts w:ascii="Times New Roman" w:cs="Times New Roman" w:eastAsia="Times New Roman" w:hAnsi="Times New Roman"/>
          <w:sz w:val="18"/>
          <w:szCs w:val="18"/>
          <w:u w:val="single" w:color="auto"/>
          <w:color w:val="auto"/>
        </w:rPr>
        <w:t>Excluded Liabilities</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 OF THE COMPANY</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Company hereby represents and warrants to the Purchaser Agent and the Purchasers, that, except as disclosed in the Disclosure Letter and any Second Payment Date Disclosure Notice </w:t>
      </w:r>
      <w:r>
        <w:rPr>
          <w:rFonts w:ascii="Times New Roman" w:cs="Times New Roman" w:eastAsia="Times New Roman" w:hAnsi="Times New Roman"/>
          <w:sz w:val="18"/>
          <w:szCs w:val="18"/>
          <w:color w:val="0000FF"/>
        </w:rPr>
        <w:t>or Third Payment Date Disclosure Notice</w:t>
      </w:r>
      <w:r>
        <w:rPr>
          <w:rFonts w:ascii="Times New Roman" w:cs="Times New Roman" w:eastAsia="Times New Roman" w:hAnsi="Times New Roman"/>
          <w:sz w:val="18"/>
          <w:szCs w:val="18"/>
          <w:color w:val="auto"/>
        </w:rPr>
        <w:t>, as applicable, as of the Closing Date and the Second Purchaser Payment Date, as applicable,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-141605</wp:posOffset>
            </wp:positionV>
            <wp:extent cx="192849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928495"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-175895</wp:posOffset>
            </wp:positionV>
            <wp:extent cx="192913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929130" cy="825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3.01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Each Obligor is a corporation, limited liability company or other corporate entity, as applicable, duly organized or incorporated (as applicable), validly existing, and (to the extent the concept is applicable in such jurisdiction) in good standing under the laws of its respective jurisdiction of organization. Each Obligor has all requisite corporate, limited liability company or other power, as applicable, licenses, authorizations, consents and approvals required to carry on its respective business as now conducted and as proposed to be conducted in connection with the transactions contemplated by the Transaction Documents. Each Obligor is duly qualified to do business as a foreign corporation, foreign limited liability company or other foreign entity, as applicable, and (to the extent the concept is applicable in such jurisdiction) is in good standing in every jurisdiction (other than its jurisdiction of organization) in which the failure to do so would be reasonably expected to have a Material Adverse Effect. As of the Closing Date, the Subsidiaries of the Company are listed on </w:t>
      </w:r>
      <w:r>
        <w:rPr>
          <w:rFonts w:ascii="Times New Roman" w:cs="Times New Roman" w:eastAsia="Times New Roman" w:hAnsi="Times New Roman"/>
          <w:sz w:val="18"/>
          <w:szCs w:val="18"/>
          <w:u w:val="single" w:color="auto"/>
          <w:color w:val="auto"/>
        </w:rPr>
        <w:t>Schedule 3.01</w:t>
      </w:r>
      <w:r>
        <w:rPr>
          <w:rFonts w:ascii="Times New Roman" w:cs="Times New Roman" w:eastAsia="Times New Roman" w:hAnsi="Times New Roman"/>
          <w:sz w:val="18"/>
          <w:szCs w:val="18"/>
          <w:color w:val="auto"/>
        </w:rPr>
        <w:t xml:space="preserve"> to the Disclosure Letter.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3.02 </w:t>
      </w:r>
      <w:r>
        <w:rPr>
          <w:rFonts w:ascii="Times New Roman" w:cs="Times New Roman" w:eastAsia="Times New Roman" w:hAnsi="Times New Roman"/>
          <w:sz w:val="18"/>
          <w:szCs w:val="18"/>
          <w:u w:val="single" w:color="auto"/>
          <w:color w:val="auto"/>
        </w:rPr>
        <w:t>Authorization.</w:t>
      </w:r>
    </w:p>
    <w:p>
      <w:pPr>
        <w:spacing w:after="0" w:line="12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Each Obligor has all requisite corporate, limited liability company or other organizational power and authority to execute and deliver, and perform its obligations under, this Agreement, the Security Agreement and each other Transaction Document to which it is a party and to consummate the transactions contemplated hereunder and thereunder, as applicable. The execution, delivery, and performance of this Agreement and the other Transaction Documents, and the consummation of the transactions contemplated by this Agreement and the other Transaction Documents, have been duly authorized by all necessary corporate, limited liability company or other organizational action on the part of such Obligor. Each Obligor has provided the Purchaser Agent with a copy of resolutions adopted by such Obligor’s Board authorizing the execution, delivery, and performance by such Obligor of this Agreement, the Security Agreement and each other Transaction Document and the consummation by such Obligor of the transactions contemplated by this Agreement, the Security Agreement and the other Transaction Documents.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3.03 </w:t>
      </w:r>
      <w:r>
        <w:rPr>
          <w:rFonts w:ascii="Times New Roman" w:cs="Times New Roman" w:eastAsia="Times New Roman" w:hAnsi="Times New Roman"/>
          <w:sz w:val="18"/>
          <w:szCs w:val="18"/>
          <w:u w:val="single" w:color="auto"/>
          <w:color w:val="auto"/>
        </w:rPr>
        <w:t>Enforceability.</w:t>
      </w:r>
    </w:p>
    <w:p>
      <w:pPr>
        <w:spacing w:after="0" w:line="121"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This Agreement, the Security Agreement and the other Transaction Documents have been duly authorized, executed and delivered by each Obligor party thereto and constitute the valid and binding obligation of such entity, enforceable against such entity in accordance with its respective terms, except as may be limited by applicable Bankruptcy Laws or by general principles of equity (whether considered in a proceeding in equity or at law).</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66"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3.04 </w:t>
      </w:r>
      <w:r>
        <w:rPr>
          <w:rFonts w:ascii="Times New Roman" w:cs="Times New Roman" w:eastAsia="Times New Roman" w:hAnsi="Times New Roman"/>
          <w:sz w:val="18"/>
          <w:szCs w:val="18"/>
          <w:u w:val="single" w:color="auto"/>
          <w:color w:val="auto"/>
        </w:rPr>
        <w:t>[Reserved].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3.05 </w:t>
      </w:r>
      <w:r>
        <w:rPr>
          <w:rFonts w:ascii="Times New Roman" w:cs="Times New Roman" w:eastAsia="Times New Roman" w:hAnsi="Times New Roman"/>
          <w:sz w:val="18"/>
          <w:szCs w:val="18"/>
          <w:u w:val="single" w:color="auto"/>
          <w:color w:val="auto"/>
        </w:rPr>
        <w:t>Ownership.</w:t>
      </w:r>
    </w:p>
    <w:p>
      <w:pPr>
        <w:spacing w:after="0" w:line="121" w:lineRule="exact"/>
        <w:rPr>
          <w:sz w:val="20"/>
          <w:szCs w:val="20"/>
          <w:color w:val="auto"/>
        </w:rPr>
      </w:pPr>
    </w:p>
    <w:p>
      <w:pPr>
        <w:ind w:right="20" w:firstLine="436"/>
        <w:spacing w:after="0" w:line="254" w:lineRule="auto"/>
        <w:tabs>
          <w:tab w:leader="none" w:pos="68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Obligors exclusively own all of the Product Intellectual Property, Regulatory Filings and the Regulatory Approvals related to Anktiva free and clear of all Liens (other than Permitted Liens), and no license or covenant not to sue under any such Product Intellectual Property, or right of reference under any such Regulatory Filings, has been granted by any Obligor to any Third Party, except as set forth on </w:t>
      </w:r>
      <w:r>
        <w:rPr>
          <w:rFonts w:ascii="Times New Roman" w:cs="Times New Roman" w:eastAsia="Times New Roman" w:hAnsi="Times New Roman"/>
          <w:sz w:val="18"/>
          <w:szCs w:val="18"/>
          <w:u w:val="single" w:color="auto"/>
          <w:color w:val="auto"/>
        </w:rPr>
        <w:t>Schedule 3.05(a)(i)</w:t>
      </w:r>
      <w:r>
        <w:rPr>
          <w:rFonts w:ascii="Times New Roman" w:cs="Times New Roman" w:eastAsia="Times New Roman" w:hAnsi="Times New Roman"/>
          <w:sz w:val="18"/>
          <w:szCs w:val="18"/>
          <w:color w:val="auto"/>
        </w:rPr>
        <w:t xml:space="preserve"> to the Disclosure Letter. In addition, the Obligors own or hold a valid license granting rights to use, or have other rights to use, all of the Product Intellectual Property, Regulatory Filings and the Regulatory Approvals related to each other Included Product free and clear of all Liens (other than Permitted Liens), and no license or covenant not to sue under any such Product Intellectual Property, or right of reference under any such Regulatory Filings, has been granted by any Obligor to any Third Party, except for Permitted Licenses or as set forth on </w:t>
      </w:r>
      <w:r>
        <w:rPr>
          <w:rFonts w:ascii="Times New Roman" w:cs="Times New Roman" w:eastAsia="Times New Roman" w:hAnsi="Times New Roman"/>
          <w:sz w:val="18"/>
          <w:szCs w:val="18"/>
          <w:u w:val="single" w:color="auto"/>
          <w:color w:val="auto"/>
        </w:rPr>
        <w:t>Schedule 3.05(a)(ii)</w:t>
      </w:r>
      <w:r>
        <w:rPr>
          <w:rFonts w:ascii="Times New Roman" w:cs="Times New Roman" w:eastAsia="Times New Roman" w:hAnsi="Times New Roman"/>
          <w:sz w:val="18"/>
          <w:szCs w:val="18"/>
          <w:color w:val="auto"/>
        </w:rPr>
        <w:t xml:space="preserve"> to the Disclosure Letter. Any exclusive or commercial rights granted under the agreements listed on </w:t>
      </w:r>
      <w:r>
        <w:rPr>
          <w:rFonts w:ascii="Times New Roman" w:cs="Times New Roman" w:eastAsia="Times New Roman" w:hAnsi="Times New Roman"/>
          <w:sz w:val="18"/>
          <w:szCs w:val="18"/>
          <w:u w:val="single" w:color="auto"/>
          <w:color w:val="auto"/>
        </w:rPr>
        <w:t>Schedule 3.05</w:t>
      </w:r>
      <w:r>
        <w:rPr>
          <w:rFonts w:ascii="Times New Roman" w:cs="Times New Roman" w:eastAsia="Times New Roman" w:hAnsi="Times New Roman"/>
          <w:sz w:val="18"/>
          <w:szCs w:val="18"/>
          <w:color w:val="auto"/>
        </w:rPr>
        <w:t xml:space="preserve"> to the Disclosure Letter are notated as such on such schedule.</w:t>
      </w:r>
    </w:p>
    <w:p>
      <w:pPr>
        <w:spacing w:after="0" w:line="83"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3.05(b)(i)</w:t>
      </w:r>
      <w:r>
        <w:rPr>
          <w:rFonts w:ascii="Times New Roman" w:cs="Times New Roman" w:eastAsia="Times New Roman" w:hAnsi="Times New Roman"/>
          <w:sz w:val="18"/>
          <w:szCs w:val="18"/>
          <w:color w:val="auto"/>
        </w:rPr>
        <w:t xml:space="preserve"> to the Disclosure Letter or as permitted pursuant to this Agreement, no Obligor has Transferred or granted any Lien in respect of or agreed to Transfer or grant any Lien in respect of, any portion of the Revenue Interests or the Collateral. Except for the sale of the Revenue Interests pursuant hereto and as set forth on </w:t>
      </w:r>
      <w:r>
        <w:rPr>
          <w:rFonts w:ascii="Times New Roman" w:cs="Times New Roman" w:eastAsia="Times New Roman" w:hAnsi="Times New Roman"/>
          <w:sz w:val="18"/>
          <w:szCs w:val="18"/>
          <w:u w:val="single" w:color="auto"/>
          <w:color w:val="auto"/>
        </w:rPr>
        <w:t>Schedule 3.05(b)(ii)</w:t>
      </w:r>
      <w:r>
        <w:rPr>
          <w:rFonts w:ascii="Times New Roman" w:cs="Times New Roman" w:eastAsia="Times New Roman" w:hAnsi="Times New Roman"/>
          <w:sz w:val="18"/>
          <w:szCs w:val="18"/>
          <w:color w:val="auto"/>
        </w:rPr>
        <w:t xml:space="preserve"> to the Disclosure Letter, no Person other than the Company has any right to receive any payments in respect of Net Sales or revenues of the Included Products. The Company has the full right to sell, transfer, convey and assign to the Purchasers all of the Company’s rights, title and interests in and to the Revenue Interests pursuant to this Agreement without any requirement to obtain the consent of any Person, except such consents as are obtained at or prior to the Closing Date. At the Closing Date, Purchaser Agent shall have acquired good and valid rights and interests in and to all of the Revenue Interests, free and clear of any and all Liens, subject to the terms of this Agreement. Any agreements related to Anktiva and listed on </w:t>
      </w:r>
      <w:r>
        <w:rPr>
          <w:rFonts w:ascii="Times New Roman" w:cs="Times New Roman" w:eastAsia="Times New Roman" w:hAnsi="Times New Roman"/>
          <w:sz w:val="18"/>
          <w:szCs w:val="18"/>
          <w:u w:val="single" w:color="auto"/>
          <w:color w:val="auto"/>
        </w:rPr>
        <w:t>Schedule 3.05(b)</w:t>
      </w:r>
      <w:r>
        <w:rPr>
          <w:rFonts w:ascii="Times New Roman" w:cs="Times New Roman" w:eastAsia="Times New Roman" w:hAnsi="Times New Roman"/>
          <w:sz w:val="18"/>
          <w:szCs w:val="18"/>
          <w:color w:val="auto"/>
        </w:rPr>
        <w:t xml:space="preserve"> to the Disclosure Letter are notated as such on such schedule.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3.06 </w:t>
      </w:r>
      <w:r>
        <w:rPr>
          <w:rFonts w:ascii="Times New Roman" w:cs="Times New Roman" w:eastAsia="Times New Roman" w:hAnsi="Times New Roman"/>
          <w:sz w:val="18"/>
          <w:szCs w:val="18"/>
          <w:u w:val="single" w:color="auto"/>
          <w:color w:val="auto"/>
        </w:rPr>
        <w:t>Financial Statements; No Material Adverse Effect.</w:t>
      </w:r>
    </w:p>
    <w:p>
      <w:pPr>
        <w:spacing w:after="0" w:line="121" w:lineRule="exact"/>
        <w:rPr>
          <w:sz w:val="20"/>
          <w:szCs w:val="20"/>
          <w:color w:val="auto"/>
        </w:rPr>
      </w:pPr>
    </w:p>
    <w:p>
      <w:pPr>
        <w:ind w:right="140" w:firstLine="436"/>
        <w:spacing w:after="0" w:line="256" w:lineRule="auto"/>
        <w:tabs>
          <w:tab w:leader="none" w:pos="68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Financial Statements and the Interim Financial Statements (i) were prepared in accordance with GAAP consistently applied throughout the period covered thereby, except as otherwise expressly noted therein (and except, in the case of the Interim Financial Statements, for the absence of footnotes and subject to year-end adjustments) and (ii) fairly present in all material respects the financial condition of the Company and its Subsidiaries as of the date thereof and their results of operations for the period covered thereby in accordance with GAAP consistently applied throughout the period covered thereby, except as otherwise expressly noted therein (and except, in the case of the Interim Financial Statements, for the absence of footnotes and subject to year-end adjustments).</w:t>
      </w:r>
    </w:p>
    <w:p>
      <w:pPr>
        <w:spacing w:after="0" w:line="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right="100" w:firstLine="436"/>
        <w:spacing w:after="0" w:line="258" w:lineRule="auto"/>
        <w:tabs>
          <w:tab w:leader="none" w:pos="68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of the Audited Financial Statements to and including the Closing Date, there has been no Transfer by the Company or any Subsidiary, voluntary or involuntary, of any material part of the business or property of the Company or any Subsidiary, and no purchase or other acquisition by any of them of any business or property (including any Equity Interests of any other Person) material to the Company or any Subsidiary, in each case, which is not reflected in the foregoing financial statements or in the notes thereto and has not otherwise been disclosed in writing to Purchaser Agent and the Purchasers on or prior to the Closing Date.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80"/>
          </w:cols>
          <w:pgMar w:left="440" w:top="266" w:right="479" w:bottom="1440" w:gutter="0" w:footer="0" w:header="0"/>
        </w:sectPr>
      </w:pPr>
    </w:p>
    <w:bookmarkStart w:id="60" w:name="page61"/>
    <w:bookmarkEnd w:id="60"/>
    <w:p>
      <w:pPr>
        <w:ind w:right="40" w:firstLine="436"/>
        <w:spacing w:after="0" w:line="261" w:lineRule="auto"/>
        <w:tabs>
          <w:tab w:leader="none" w:pos="69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financial statements delivered pursuant to </w:t>
      </w:r>
      <w:r>
        <w:rPr>
          <w:rFonts w:ascii="Times New Roman" w:cs="Times New Roman" w:eastAsia="Times New Roman" w:hAnsi="Times New Roman"/>
          <w:sz w:val="18"/>
          <w:szCs w:val="18"/>
          <w:u w:val="single" w:color="auto"/>
          <w:color w:val="auto"/>
        </w:rPr>
        <w:t>Section 5.02(a)(i)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5.02(a)(ii)</w:t>
      </w:r>
      <w:r>
        <w:rPr>
          <w:rFonts w:ascii="Times New Roman" w:cs="Times New Roman" w:eastAsia="Times New Roman" w:hAnsi="Times New Roman"/>
          <w:sz w:val="18"/>
          <w:szCs w:val="18"/>
          <w:color w:val="auto"/>
        </w:rPr>
        <w:t xml:space="preserve"> have been prepared in accordance with GAAP (except as may otherwise be permitted under </w:t>
      </w:r>
      <w:r>
        <w:rPr>
          <w:rFonts w:ascii="Times New Roman" w:cs="Times New Roman" w:eastAsia="Times New Roman" w:hAnsi="Times New Roman"/>
          <w:sz w:val="18"/>
          <w:szCs w:val="18"/>
          <w:u w:val="single" w:color="auto"/>
          <w:color w:val="auto"/>
        </w:rPr>
        <w:t>Section 5.02(a)</w:t>
      </w:r>
      <w:r>
        <w:rPr>
          <w:rFonts w:ascii="Times New Roman" w:cs="Times New Roman" w:eastAsia="Times New Roman" w:hAnsi="Times New Roman"/>
          <w:sz w:val="18"/>
          <w:szCs w:val="18"/>
          <w:color w:val="auto"/>
        </w:rPr>
        <w:t xml:space="preserve"> and present fairly in all material respects (on the basis disclosed in the footnotes to such financial statements) the consolidated financial condition, results of operations and cash flows of the Company and its Subsidiaries as of the dates thereof and for the periods covered thereby.</w:t>
      </w:r>
    </w:p>
    <w:p>
      <w:pPr>
        <w:spacing w:after="0" w:line="71" w:lineRule="exact"/>
        <w:rPr>
          <w:rFonts w:ascii="Times New Roman" w:cs="Times New Roman" w:eastAsia="Times New Roman" w:hAnsi="Times New Roman"/>
          <w:sz w:val="18"/>
          <w:szCs w:val="18"/>
          <w:color w:val="auto"/>
        </w:rPr>
      </w:pPr>
    </w:p>
    <w:p>
      <w:pPr>
        <w:ind w:right="260" w:firstLine="436"/>
        <w:spacing w:after="0" w:line="282" w:lineRule="auto"/>
        <w:tabs>
          <w:tab w:leader="none" w:pos="68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Audited Financial Statements, there has been no event or circumstance, either individually or in the aggregate, that has had or could reasonably be expected to have a Material Adverse Effect.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3.07 </w:t>
      </w:r>
      <w:r>
        <w:rPr>
          <w:rFonts w:ascii="Times New Roman" w:cs="Times New Roman" w:eastAsia="Times New Roman" w:hAnsi="Times New Roman"/>
          <w:sz w:val="18"/>
          <w:szCs w:val="18"/>
          <w:u w:val="single" w:color="auto"/>
          <w:color w:val="auto"/>
        </w:rPr>
        <w:t>No Undisclosed Liabilities.</w:t>
      </w:r>
    </w:p>
    <w:p>
      <w:pPr>
        <w:spacing w:after="0" w:line="121"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Except for (a) those liabilities identified in the Financial Statements (including the notes thereto) and/or in any current or periodic filing made by the Company with the SEC or incurred in the ordinary course of business since the date of the most recent Financial Statements; (b) Indebtedness permitted hereunder; or (c) those liabilities in connection with the Obligations under the Transaction Documents, there are no material liabilities of the Company or its Subsidiaries related to any Included Product, of any kind whatsoever, whether accrued, contingent, absolute, determined or determinable.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3.08 </w:t>
      </w:r>
      <w:r>
        <w:rPr>
          <w:rFonts w:ascii="Times New Roman" w:cs="Times New Roman" w:eastAsia="Times New Roman" w:hAnsi="Times New Roman"/>
          <w:sz w:val="18"/>
          <w:szCs w:val="18"/>
          <w:u w:val="single" w:color="auto"/>
          <w:color w:val="auto"/>
        </w:rPr>
        <w:t>Solvency; No Fraudulent Transfer.</w:t>
      </w:r>
    </w:p>
    <w:p>
      <w:pPr>
        <w:spacing w:after="0" w:line="121"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The Company and its Subsidiaries, taken as a whole, are not insolvent as defined in any statute of the United States Bankruptcy Code, the fraudulent conveyance or fraudulent transfer statutes of the State of Delaware or any other Bankruptcy Laws. After giving effect to the applicable Purchaser Payment on the Closing Date or the Second Purchaser Payment Date, as applicable, (a) the present fair saleable value of the Company’s and the Subsidiaries’ assets, taken as a whole, is greater than the total amount of liabilities of the Company and the Subsidiaries, taken as a whole, as such liabilities mature, (b) the Company and the Subsidiaries, taken as a whole, do not have unreasonably small capital with which to engage in their business, and (c) the Company and the Subsidiaries, taken as a whole, have not incurred, nor do they have present plans to or intend to incur, debts or liabilities beyond their ability to pay such debts or liabilities as they become absolute and matured. No transfer of property was or is being made by any Obligor and no obligation was or is being incurred by any Obligor in connection with the transactions contemplated by this Agreement or the other Transaction Documents with the intent to hinder, delay, or defraud either present or future creditors of such Obligor.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3.09 </w:t>
      </w:r>
      <w:r>
        <w:rPr>
          <w:rFonts w:ascii="Times New Roman" w:cs="Times New Roman" w:eastAsia="Times New Roman" w:hAnsi="Times New Roman"/>
          <w:sz w:val="18"/>
          <w:szCs w:val="18"/>
          <w:u w:val="single" w:color="auto"/>
          <w:color w:val="auto"/>
        </w:rPr>
        <w:t>Litigation.</w:t>
      </w:r>
    </w:p>
    <w:p>
      <w:pPr>
        <w:spacing w:after="0" w:line="121" w:lineRule="exact"/>
        <w:rPr>
          <w:sz w:val="20"/>
          <w:szCs w:val="20"/>
          <w:color w:val="auto"/>
        </w:rPr>
      </w:pPr>
    </w:p>
    <w:p>
      <w:pPr>
        <w:ind w:firstLine="436"/>
        <w:spacing w:after="0" w:line="254" w:lineRule="auto"/>
        <w:tabs>
          <w:tab w:leader="none" w:pos="66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as set forth on </w:t>
      </w:r>
      <w:r>
        <w:rPr>
          <w:rFonts w:ascii="Times New Roman" w:cs="Times New Roman" w:eastAsia="Times New Roman" w:hAnsi="Times New Roman"/>
          <w:sz w:val="18"/>
          <w:szCs w:val="18"/>
          <w:u w:val="single" w:color="auto"/>
          <w:color w:val="auto"/>
        </w:rPr>
        <w:t>Schedule 3.09(I)</w:t>
      </w:r>
      <w:r>
        <w:rPr>
          <w:rFonts w:ascii="Times New Roman" w:cs="Times New Roman" w:eastAsia="Times New Roman" w:hAnsi="Times New Roman"/>
          <w:sz w:val="18"/>
          <w:szCs w:val="18"/>
          <w:color w:val="auto"/>
        </w:rPr>
        <w:t xml:space="preserve"> to the Disclosure Letter, no Obligor is a party to or has received any written notice of (a) any action, suit, arbitration proceeding, claim, investigation or other proceeding (whether administrative, judicial or otherwise) pending or, to the Knowledge of the Obligors, threatened against the Company or any of its Subsidiaries, or (b) any governmental inquiry pending or, to the Knowledge of the Obligors, threatened against the Company or any of its Subsidiaries, in each case with respect to clauses (a) and (b) above, which would, individually or in the aggregate, if determined adversely, reasonably be expected to have a Material Adverse Effect and (II) other than as set forth on </w:t>
      </w:r>
      <w:r>
        <w:rPr>
          <w:rFonts w:ascii="Times New Roman" w:cs="Times New Roman" w:eastAsia="Times New Roman" w:hAnsi="Times New Roman"/>
          <w:sz w:val="18"/>
          <w:szCs w:val="18"/>
          <w:u w:val="single" w:color="auto"/>
          <w:color w:val="auto"/>
        </w:rPr>
        <w:t>Schedule 3.09(II)</w:t>
      </w:r>
      <w:r>
        <w:rPr>
          <w:rFonts w:ascii="Times New Roman" w:cs="Times New Roman" w:eastAsia="Times New Roman" w:hAnsi="Times New Roman"/>
          <w:sz w:val="18"/>
          <w:szCs w:val="18"/>
          <w:color w:val="auto"/>
        </w:rPr>
        <w:t xml:space="preserve"> to the Disclosure Letter, there is no action, suit, arbitration proceeding, claim, investigation, governmental inquiry or other proceeding (whether administrative, judicial or otherwise) pending or, to the Knowledge of the Obligors, threatened against the Company, any Subsidiary or any other Person relating to the Revenue Interests, any Included Product or any other Product Asset.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61" w:name="page62"/>
    <w:bookmarkEnd w:id="6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3.10 </w:t>
      </w:r>
      <w:r>
        <w:rPr>
          <w:rFonts w:ascii="Times New Roman" w:cs="Times New Roman" w:eastAsia="Times New Roman" w:hAnsi="Times New Roman"/>
          <w:sz w:val="18"/>
          <w:szCs w:val="18"/>
          <w:u w:val="single" w:color="auto"/>
          <w:color w:val="auto"/>
        </w:rPr>
        <w:t>Compliance with Laws.</w:t>
      </w:r>
    </w:p>
    <w:p>
      <w:pPr>
        <w:spacing w:after="0" w:line="121" w:lineRule="exact"/>
        <w:rPr>
          <w:sz w:val="20"/>
          <w:szCs w:val="20"/>
          <w:color w:val="auto"/>
        </w:rPr>
      </w:pPr>
    </w:p>
    <w:p>
      <w:pPr>
        <w:ind w:left="4" w:right="320" w:firstLine="440"/>
        <w:spacing w:after="0" w:line="258" w:lineRule="auto"/>
        <w:rPr>
          <w:sz w:val="20"/>
          <w:szCs w:val="20"/>
          <w:color w:val="auto"/>
        </w:rPr>
      </w:pPr>
      <w:r>
        <w:rPr>
          <w:rFonts w:ascii="Times New Roman" w:cs="Times New Roman" w:eastAsia="Times New Roman" w:hAnsi="Times New Roman"/>
          <w:sz w:val="18"/>
          <w:szCs w:val="18"/>
          <w:color w:val="auto"/>
        </w:rPr>
        <w:t>Neither the Company nor any Subsidiary (a) is in violation of, has violated, or to the Knowledge of the Obligors, is under investigation with respect to, or (b) has been threatened to be charged with or been given notice of any violation of any law, rule, ordinance or regulation of, or any judgment, order, writ, decree, permit or license entered by any Governmental Authority applicable to, the Company or any of its Subsidiaries, the Revenue Interests or the Included Products or any other Product Asset, in each case which could reasonably be expected to have a Material Adverse Effect.</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Section 3.11 </w:t>
      </w:r>
      <w:r>
        <w:rPr>
          <w:rFonts w:ascii="Times New Roman" w:cs="Times New Roman" w:eastAsia="Times New Roman" w:hAnsi="Times New Roman"/>
          <w:sz w:val="18"/>
          <w:szCs w:val="18"/>
          <w:u w:val="single" w:color="auto"/>
          <w:color w:val="auto"/>
        </w:rPr>
        <w:t>Conflicts; Adverse Agreements.</w:t>
      </w:r>
    </w:p>
    <w:p>
      <w:pPr>
        <w:spacing w:after="0" w:line="121"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3.11</w:t>
      </w:r>
      <w:r>
        <w:rPr>
          <w:rFonts w:ascii="Times New Roman" w:cs="Times New Roman" w:eastAsia="Times New Roman" w:hAnsi="Times New Roman"/>
          <w:sz w:val="18"/>
          <w:szCs w:val="18"/>
          <w:color w:val="auto"/>
        </w:rPr>
        <w:t xml:space="preserve"> to the Disclosure Letter, neither the execution and delivery of any of this Agreement or the other Transaction Documents to which any Obligor is a party nor the performance or consummation of the transactions contemplated hereby or thereby will:</w:t>
      </w:r>
    </w:p>
    <w:p>
      <w:pPr>
        <w:ind w:left="4" w:hanging="4"/>
        <w:spacing w:after="0" w:line="250" w:lineRule="auto"/>
        <w:tabs>
          <w:tab w:leader="none" w:pos="24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conflict with, result in a breach or violation of, constitute a default under, or accelerate the performance provided by, in any material respects any provisions of: (i) any law, rule, ordinance or regulation of any Governmental Authority, or any judgment, order, writ, decree, permit or license of any Governmental Authority, to which the Company or any Subsidiary or any of their respective assets or properties may be subject or bound; or (ii) any contract, agreement, commitment or instrument to which the Company or any Subsidiary is a party or by which the Company or its Subsidiary or any of their respective assets or properties is bound or committed; (b) contravene, conflict with, result in a breach or violation of, constitute a default under, or accelerate the performance provided by, any provisions of the articles or certificate of incorporation or bylaws (or other organizational or constitutional documents) of the Company or any Subsidiary; (c) except for the filing of the UCC Financing Statements and any other notices of security or notices of charge required hereunder and filings with the United States Patent and Trademark Office and/or the United States Copyright Office, require any notification to, filing with, or consent of, any Person or Governmental Authority, except such consents that are obtained, notices provided, and/or filings made, in each case, at or prior to the Closing Date; (d) give rise to any right of termination, cancellation or acceleration of any right or obligation of the Company, any Subsidiary or any other Person or; (e) give rise to any loss of any benefit relating to the Revenue Interests; or (f) other than pursuant to this Agreement or any other Transaction Document, result in the creation or imposition of any Lien on (i) the assets or properties of the Company or any Subsidiaries or (ii) the Revenue Interests or any Collateral except, in the case of the foregoing clauses (a),</w:t>
      </w:r>
    </w:p>
    <w:p>
      <w:pPr>
        <w:spacing w:after="0" w:line="5" w:lineRule="exact"/>
        <w:rPr>
          <w:rFonts w:ascii="Times New Roman" w:cs="Times New Roman" w:eastAsia="Times New Roman" w:hAnsi="Times New Roman"/>
          <w:sz w:val="18"/>
          <w:szCs w:val="18"/>
          <w:color w:val="auto"/>
        </w:rPr>
      </w:pPr>
    </w:p>
    <w:p>
      <w:pPr>
        <w:ind w:left="4" w:right="40" w:hanging="4"/>
        <w:spacing w:after="0" w:line="253" w:lineRule="auto"/>
        <w:tabs>
          <w:tab w:leader="none" w:pos="24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(d), as could not, individually or in the aggregate, be reasonably expected to have a Material Adverse Effect. No Obligor or any of its Subsidiaries is a party to any contractual obligation or subject to any restriction or limitation in any organizational document or any judgment, order, regulation, ruling or other requirement of a court or other Governmental Authority, which (either individually or in the aggregate) has, or in the future could reasonably be expected (either individually or in the aggregate) to have, a Material Adverse Effect.</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Section 3.12 </w:t>
      </w:r>
      <w:r>
        <w:rPr>
          <w:rFonts w:ascii="Times New Roman" w:cs="Times New Roman" w:eastAsia="Times New Roman" w:hAnsi="Times New Roman"/>
          <w:sz w:val="18"/>
          <w:szCs w:val="18"/>
          <w:u w:val="single" w:color="auto"/>
          <w:color w:val="auto"/>
        </w:rPr>
        <w:t>Intellectual Property.</w:t>
      </w:r>
    </w:p>
    <w:p>
      <w:pPr>
        <w:spacing w:after="0" w:line="121" w:lineRule="exact"/>
        <w:rPr>
          <w:sz w:val="20"/>
          <w:szCs w:val="20"/>
          <w:color w:val="auto"/>
        </w:rPr>
      </w:pPr>
    </w:p>
    <w:p>
      <w:pPr>
        <w:ind w:left="684" w:hanging="244"/>
        <w:spacing w:after="0"/>
        <w:tabs>
          <w:tab w:leader="none" w:pos="68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3.12(a)</w:t>
      </w:r>
      <w:r>
        <w:rPr>
          <w:rFonts w:ascii="Times New Roman" w:cs="Times New Roman" w:eastAsia="Times New Roman" w:hAnsi="Times New Roman"/>
          <w:sz w:val="18"/>
          <w:szCs w:val="18"/>
          <w:color w:val="auto"/>
        </w:rPr>
        <w:t xml:space="preserve"> to the Disclosure Letter sets forth, as of the Closing Date, true, correct and complete list of all (i) Patents and utility models,</w:t>
      </w:r>
    </w:p>
    <w:p>
      <w:pPr>
        <w:spacing w:after="0" w:line="27" w:lineRule="exact"/>
        <w:rPr>
          <w:rFonts w:ascii="Times New Roman" w:cs="Times New Roman" w:eastAsia="Times New Roman" w:hAnsi="Times New Roman"/>
          <w:sz w:val="18"/>
          <w:szCs w:val="18"/>
          <w:color w:val="auto"/>
        </w:rPr>
      </w:pPr>
    </w:p>
    <w:p>
      <w:pPr>
        <w:ind w:left="4" w:right="80" w:hanging="4"/>
        <w:spacing w:after="0" w:line="253" w:lineRule="auto"/>
        <w:tabs>
          <w:tab w:leader="none" w:pos="26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trade names, registered trademarks, registered service marks, and applications for trademark registration or service mark registration, (iii) registered copyrights and (iv) domain name registrations and websites, in each case with respect to clauses (i), (ii), (iii) and (iv) above in this clause (a) that are material Product Intellectual Property. Except as disclosed therein, to the Knowledge of the Obligors, each issued Patent and trademark listed on </w:t>
      </w:r>
      <w:r>
        <w:rPr>
          <w:rFonts w:ascii="Times New Roman" w:cs="Times New Roman" w:eastAsia="Times New Roman" w:hAnsi="Times New Roman"/>
          <w:sz w:val="18"/>
          <w:szCs w:val="18"/>
          <w:u w:val="single" w:color="auto"/>
          <w:color w:val="auto"/>
        </w:rPr>
        <w:t>Schedule 3.12(a)</w:t>
      </w:r>
      <w:r>
        <w:rPr>
          <w:rFonts w:ascii="Times New Roman" w:cs="Times New Roman" w:eastAsia="Times New Roman" w:hAnsi="Times New Roman"/>
          <w:sz w:val="18"/>
          <w:szCs w:val="18"/>
          <w:color w:val="auto"/>
        </w:rPr>
        <w:t xml:space="preserve"> to the Disclosure Letter is valid, enforceable and subsisting and has not lapsed, expired, been cancelled or become abandoned, except in the ordinary course of business or where such lapse or abandonment would not reasonably be likely to result in a Material Adverse Effect.</w:t>
      </w:r>
    </w:p>
    <w:p>
      <w:pPr>
        <w:spacing w:after="0" w:line="11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84"/>
          </w:cols>
          <w:pgMar w:left="436" w:top="266" w:right="479" w:bottom="1440" w:gutter="0" w:footer="0" w:header="0"/>
        </w:sectPr>
      </w:pPr>
    </w:p>
    <w:bookmarkStart w:id="62" w:name="page63"/>
    <w:bookmarkEnd w:id="62"/>
    <w:p>
      <w:pPr>
        <w:ind w:right="100" w:firstLine="436"/>
        <w:spacing w:after="0" w:line="261" w:lineRule="auto"/>
        <w:tabs>
          <w:tab w:leader="none" w:pos="69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for Product Intellectual Property licensed to or owned by any Obligor and set forth on </w:t>
      </w:r>
      <w:r>
        <w:rPr>
          <w:rFonts w:ascii="Times New Roman" w:cs="Times New Roman" w:eastAsia="Times New Roman" w:hAnsi="Times New Roman"/>
          <w:sz w:val="18"/>
          <w:szCs w:val="18"/>
          <w:u w:val="single" w:color="auto"/>
          <w:color w:val="auto"/>
        </w:rPr>
        <w:t>Schedule 3.12(b)</w:t>
      </w:r>
      <w:r>
        <w:rPr>
          <w:rFonts w:ascii="Times New Roman" w:cs="Times New Roman" w:eastAsia="Times New Roman" w:hAnsi="Times New Roman"/>
          <w:sz w:val="18"/>
          <w:szCs w:val="18"/>
          <w:color w:val="auto"/>
        </w:rPr>
        <w:t xml:space="preserve"> to the Disclosure Letter, to the Knowledge of the Obligors, no other Intellectual Property is necessary to use, Develop, Manufacture, import or Commercialize the Included Products. To the Knowledge of the Obligors, the use, Development, Manufacture, import or Commercialization of the Included Products do not and will not infringe any Patents or misappropriate any other Intellectual Property that is owned or controlled by a Third Party.</w:t>
      </w:r>
    </w:p>
    <w:p>
      <w:pPr>
        <w:spacing w:after="0" w:line="71" w:lineRule="exact"/>
        <w:rPr>
          <w:rFonts w:ascii="Times New Roman" w:cs="Times New Roman" w:eastAsia="Times New Roman" w:hAnsi="Times New Roman"/>
          <w:sz w:val="18"/>
          <w:szCs w:val="18"/>
          <w:color w:val="auto"/>
        </w:rPr>
      </w:pPr>
    </w:p>
    <w:p>
      <w:pPr>
        <w:jc w:val="both"/>
        <w:ind w:right="120" w:firstLine="436"/>
        <w:spacing w:after="0" w:line="261" w:lineRule="auto"/>
        <w:tabs>
          <w:tab w:leader="none" w:pos="68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Obligors, there are no unpaid maintenance, annuity or renewal fees currently overdue for any of the Patents that constitute Product Intellectual Property or which claim or cover compositions of matter, formulation, method of use, method of manufacture and/or processes which relate to the Included Products, or that are otherwise material to the business of the Obligors and their Subsidiaries, and that are owned by or licensed to any Obligor or Subsidiary (“</w:t>
      </w:r>
      <w:r>
        <w:rPr>
          <w:rFonts w:ascii="Times New Roman" w:cs="Times New Roman" w:eastAsia="Times New Roman" w:hAnsi="Times New Roman"/>
          <w:sz w:val="18"/>
          <w:szCs w:val="18"/>
          <w:u w:val="single" w:color="auto"/>
          <w:color w:val="auto"/>
        </w:rPr>
        <w:t>Material Patents</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right="140" w:firstLine="436"/>
        <w:spacing w:after="0" w:line="255" w:lineRule="auto"/>
        <w:tabs>
          <w:tab w:leader="none" w:pos="69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Schedule 3.12(d)</w:t>
      </w:r>
      <w:r>
        <w:rPr>
          <w:rFonts w:ascii="Times New Roman" w:cs="Times New Roman" w:eastAsia="Times New Roman" w:hAnsi="Times New Roman"/>
          <w:sz w:val="18"/>
          <w:szCs w:val="18"/>
          <w:color w:val="auto"/>
        </w:rPr>
        <w:t xml:space="preserve"> to the Disclosure Letter, there is, and has been, no pending, decided or settled opposition, interference proceeding, reexamination proceeding, cancellation proceeding, injunction, claim, lawsuit, declaratory judgment, administrative post-grant review proceeding, other administrative or judicial proceeding, hearing, investigation, complaint, arbitration, mediation, International Trade Commission investigation, decree, or any other filed claim (collectively referred to hereinafter as “</w:t>
      </w: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related to any of the Material Patents nor has any such Dispute been threatened in writing challenging the legality, validity, enforceability or ownership of any Material Patents. There are no Disputes by any Person or Third Party against any Obligor or any of their respective Subsidiaries, and no Obligor nor any Subsidiary thereof has received any written notice or claim of any such Dispute as pertaining to the Included Products.</w:t>
      </w:r>
    </w:p>
    <w:p>
      <w:pPr>
        <w:spacing w:after="0" w:line="80" w:lineRule="exact"/>
        <w:rPr>
          <w:rFonts w:ascii="Times New Roman" w:cs="Times New Roman" w:eastAsia="Times New Roman" w:hAnsi="Times New Roman"/>
          <w:sz w:val="18"/>
          <w:szCs w:val="18"/>
          <w:color w:val="auto"/>
        </w:rPr>
      </w:pPr>
    </w:p>
    <w:p>
      <w:pPr>
        <w:ind w:right="140" w:firstLine="436"/>
        <w:spacing w:after="0" w:line="289" w:lineRule="auto"/>
        <w:tabs>
          <w:tab w:leader="none" w:pos="685"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Obligors and their Subsidiaries have taken commercially reasonable measures and precautions to protect and maintain (i) the confidentiality of all trade secrets with respect to the Included Products that it owns or exclusively licenses and (ii) the value of all Intellectual Property related to the Included Products, except where such failure to take action would not reasonably be expected to have a Material Adverse Effect.</w:t>
      </w:r>
    </w:p>
    <w:p>
      <w:pPr>
        <w:spacing w:after="0" w:line="49" w:lineRule="exact"/>
        <w:rPr>
          <w:rFonts w:ascii="Times New Roman" w:cs="Times New Roman" w:eastAsia="Times New Roman" w:hAnsi="Times New Roman"/>
          <w:sz w:val="17"/>
          <w:szCs w:val="17"/>
          <w:color w:val="auto"/>
        </w:rPr>
      </w:pPr>
    </w:p>
    <w:p>
      <w:pPr>
        <w:ind w:right="400" w:firstLine="436"/>
        <w:spacing w:after="0" w:line="266" w:lineRule="auto"/>
        <w:tabs>
          <w:tab w:leader="none" w:pos="66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trade secret of the Obligors or any of their respective Subsidiaries with respect to the Included Products has been published or disclosed to any Person except pursuant to a written agreement requiring such Person to keep such trade secret confidential, except where such disclosure would not reasonably be expected to have a Material Adverse Effect.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3.13 </w:t>
      </w:r>
      <w:r>
        <w:rPr>
          <w:rFonts w:ascii="Times New Roman" w:cs="Times New Roman" w:eastAsia="Times New Roman" w:hAnsi="Times New Roman"/>
          <w:sz w:val="18"/>
          <w:szCs w:val="18"/>
          <w:u w:val="single" w:color="auto"/>
          <w:color w:val="auto"/>
        </w:rPr>
        <w:t>Regulatory Approvals; Anktiva.</w:t>
      </w:r>
    </w:p>
    <w:p>
      <w:pPr>
        <w:spacing w:after="0" w:line="121" w:lineRule="exact"/>
        <w:rPr>
          <w:sz w:val="20"/>
          <w:szCs w:val="20"/>
          <w:color w:val="auto"/>
        </w:rPr>
      </w:pPr>
    </w:p>
    <w:p>
      <w:pPr>
        <w:ind w:firstLine="436"/>
        <w:spacing w:after="0" w:line="254" w:lineRule="auto"/>
        <w:tabs>
          <w:tab w:leader="none" w:pos="68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Obligors and their Subsidiaries have made available to Purchaser Agent any written reports or other written communications received by them or, to the actual knowledge of the Knowledge Persons, by any Affiliates and Licensees of the Obligors and their Subsidiaries, from a Governmental Authority that would indicate that any Regulatory Agency (i) is likely to revise or revoke any current Clinical Trial Application filed with any Regulatory Agency with respect to Anktiva or Regulatory Approval granted by any Regulatory Agency with respect to Anktiva, or may reject any filing of a Clinical Trial Application or not grant Regulatory Approval for Anktiva, (ii) is likely to pursue any material compliance actions against any Obligor or any of the Obligors’ Affiliates or Licensees, or (iii) except as would not reasonably be expected to result in a Material Adverse Effect, has any concerns with Anktiva. To the Knowledge of the Obligors there are no other facts or circumstances that could reasonably be expected to (A) indicate that any of the events specified in the immediately preceding clauses (i), (ii) or (iii) may occur or (B) cause the Obligors or any of their respective Affiliates or Licensees to voluntarily revise, withdraw or not apply for any Clinical Trial Application or Regulatory Approval for Anktiva.</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20"/>
          </w:cols>
          <w:pgMar w:left="440" w:top="270" w:right="439" w:bottom="1440" w:gutter="0" w:footer="0" w:header="0"/>
        </w:sectPr>
      </w:pPr>
    </w:p>
    <w:bookmarkStart w:id="63" w:name="page64"/>
    <w:bookmarkEnd w:id="63"/>
    <w:p>
      <w:pPr>
        <w:ind w:firstLine="436"/>
        <w:spacing w:after="0" w:line="252" w:lineRule="auto"/>
        <w:tabs>
          <w:tab w:leader="none" w:pos="69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Obligors and their Subsidiaries possess all Clinical Trial Applications and Regulatory Approvals issued or required by the Regulatory Agency, which are necessary to conduct the business relating to Anktiva, including to conduct the current Clinical Trials relating to Anktiva, and no Obligor nor any of the Obligors’ Subsidiaries, nor, to the actual knowledge of the Knowledge Persons, any of the Obligors’ Affiliates or Licensees, has received any notice of proceedings relating to, and there are no facts or circumstances to the Knowledge of the Obligors that could reasonably be expected to lead to, the revocation, suspension, termination or modification of any such Clinical Trial Applications or Regulatory Approvals. All Clinical Trial Applications and applications, notifications, submissions, information, claims, reports and statistics and other data and conclusions derived therefrom, utilized as the basis for or submitted in connection with any and all requests for a Regulatory Approval from the FDA or other Regulatory Agency relating to the Obligors or any of their Subsidiaries, their business operations and Anktiva, when submitted to the FDA or other Regulatory Agency were true, complete and correct in all material respects as of the date of submission or any necessary or required updates, changes, corrections or modifications to such applications, submissions, information and data have been submitted to the FDA or other Regulatory Agency. None of the officers or directors, or, to the Knowledge of the Obligors, employees or Affiliates of any Obligor or any Affiliate or Licensee of any Obligor or any agent or consultant of any such Person has (i) made an untrue statement of material fact or fraudulent statement to any Regulatory Agency or failed to disclose a material fact required to be disclosed to a Regulatory Agency; or (ii) committed an act, made a statement, or failed to make a statement that could reasonably be expected to provide a basis for the FDA to invoke its policy respecting “Fraud, Untrue Statements of Material Facts, Bribery, and Illegal Gratuities,” set forth in 56 Fed. Reg. 46191 (September 10, 1991).</w:t>
      </w:r>
    </w:p>
    <w:p>
      <w:pPr>
        <w:spacing w:after="0" w:line="87" w:lineRule="exact"/>
        <w:rPr>
          <w:rFonts w:ascii="Times New Roman" w:cs="Times New Roman" w:eastAsia="Times New Roman" w:hAnsi="Times New Roman"/>
          <w:sz w:val="18"/>
          <w:szCs w:val="18"/>
          <w:color w:val="auto"/>
        </w:rPr>
      </w:pPr>
    </w:p>
    <w:p>
      <w:pPr>
        <w:ind w:firstLine="436"/>
        <w:spacing w:after="0" w:line="254" w:lineRule="auto"/>
        <w:tabs>
          <w:tab w:leader="none" w:pos="68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Obligors and their Subsidiaries and, to the actual knowledge of the Knowledge Persons, the Obligors’ Affiliates and Licensees, are in compliance with, and have complied with, all applicable federal, state, local and foreign laws, rules, regulations, standards, orders and decrees governing its business, including all regulations promulgated by each Regulatory Agency, the failure of compliance with which could reasonably be expected to result in a Material Adverse Effect; the Obligors and their Subsidiaries and, to the actual knowledge of the Knowledge Persons, the Obligors’ Affiliates and Licensees, have not received any notice citing action or inaction by any of them that would constitute any non-compliance with any applicable federal, state, local and foreign laws, rules, regulations, or standards, which could reasonably be expected to result in a Material Adverse Effect; and to the Knowledge of the Obligors, no prospective change in any applicable federal, state, local or foreign laws, rules, regulations or standards has been adopted which, when made effective, could reasonably be expected to result in a Material Adverse Effect.</w:t>
      </w:r>
    </w:p>
    <w:p>
      <w:pPr>
        <w:spacing w:after="0" w:line="83" w:lineRule="exact"/>
        <w:rPr>
          <w:rFonts w:ascii="Times New Roman" w:cs="Times New Roman" w:eastAsia="Times New Roman" w:hAnsi="Times New Roman"/>
          <w:sz w:val="18"/>
          <w:szCs w:val="18"/>
          <w:color w:val="auto"/>
        </w:rPr>
      </w:pPr>
    </w:p>
    <w:p>
      <w:pPr>
        <w:ind w:right="60" w:firstLine="436"/>
        <w:spacing w:after="0" w:line="253" w:lineRule="auto"/>
        <w:tabs>
          <w:tab w:leader="none" w:pos="69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Schedule 3.13(d)</w:t>
      </w:r>
      <w:r>
        <w:rPr>
          <w:rFonts w:ascii="Times New Roman" w:cs="Times New Roman" w:eastAsia="Times New Roman" w:hAnsi="Times New Roman"/>
          <w:sz w:val="18"/>
          <w:szCs w:val="18"/>
          <w:color w:val="auto"/>
        </w:rPr>
        <w:t xml:space="preserve"> to the Disclosure Letter, (i) all preclinical and Clinical Trials conducted by or on behalf of the Obligors or their Subsidiaries or, to the actual knowledge of the Knowledge Persons, the Obligors’ Affiliates or Licensees, relating to Anktiva were conducted in all material respects in compliance with Applicable Law and, in all material respects, in accordance with experimental protocols, procedures and controls pursuant to, where applicable, accepted professional and scientific standards, (ii) the descriptions and the results of such trials provided to Purchaser Agent are accurate in all material respects and (iii) no Obligor nor any of their Subsidiaries nor, to the actual knowledge of the Knowledge Persons, the Obligors’ Affiliates and Licensees, has received any notices or correspondence from any Regulatory Agency or comparable authority requiring the termination, suspension, or modification or clinical hold of any Clinical Trials conducted by or on behalf of such Obligor or its Affiliates and Licensees.</w:t>
      </w:r>
    </w:p>
    <w:p>
      <w:pPr>
        <w:ind w:firstLine="436"/>
        <w:spacing w:after="0" w:line="253" w:lineRule="auto"/>
        <w:tabs>
          <w:tab w:leader="none" w:pos="68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Obligor nor any of the Obligors’ Subsidiaries nor, to the actual knowledge of the Knowledge Persons, the Obligors’ Affiliates or Licensees, have received any notices from, or had any written or oral communications with, (i) any Governmental Authority or (ii) any pricing and reimbursement representative of any Person, in each case exercising authority with respect to pricing and reimbursement for Anktiva, that have resulted in, or could reasonably be expected to result in, any non-coverage decision in respect of, or material reduction in the expected pricing of, Anktiva.</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70" w:right="459" w:bottom="1440" w:gutter="0" w:footer="0" w:header="0"/>
        </w:sectPr>
      </w:pPr>
    </w:p>
    <w:bookmarkStart w:id="64" w:name="page65"/>
    <w:bookmarkEnd w:id="64"/>
    <w:p>
      <w:pPr>
        <w:ind w:left="4" w:right="40" w:firstLine="436"/>
        <w:spacing w:after="0" w:line="253" w:lineRule="auto"/>
        <w:tabs>
          <w:tab w:leader="none" w:pos="669"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as set forth in </w:t>
      </w:r>
      <w:r>
        <w:rPr>
          <w:rFonts w:ascii="Times New Roman" w:cs="Times New Roman" w:eastAsia="Times New Roman" w:hAnsi="Times New Roman"/>
          <w:sz w:val="18"/>
          <w:szCs w:val="18"/>
          <w:u w:val="single" w:color="auto"/>
          <w:color w:val="auto"/>
        </w:rPr>
        <w:t>Schedule 3.13(f)</w:t>
      </w:r>
      <w:r>
        <w:rPr>
          <w:rFonts w:ascii="Times New Roman" w:cs="Times New Roman" w:eastAsia="Times New Roman" w:hAnsi="Times New Roman"/>
          <w:sz w:val="18"/>
          <w:szCs w:val="18"/>
          <w:color w:val="auto"/>
        </w:rPr>
        <w:t xml:space="preserve"> to the Disclosure Letter, all manufacturing operations conducted by or on behalf of the Obligors and their Subsidiaries and, to the actual knowledge of the Knowledge Persons, the Obligors’ Affiliates and Licensees, relating to Anktiva have been and are being conducted in compliance with, as applicable, current good manufacturing practices set forth in 21 C.F.R. Parts 210 and 211 and applicable FDA guidance documents. Without limiting the generality of the foregoing, as of the Closing Date, to the Knowledge of the Obligors, neither any Obligor nor any of their Subsidiaries nor, to the actual knowledge of the Knowledge Persons, any Affiliate or Licensee of the Obligors has received any written notice from any applicable Governmental Authority, including the FDA, that such Governmental Authority is conducting an investigation or review of</w:t>
      </w:r>
    </w:p>
    <w:p>
      <w:pPr>
        <w:spacing w:after="0" w:line="5" w:lineRule="exact"/>
        <w:rPr>
          <w:rFonts w:ascii="Times New Roman" w:cs="Times New Roman" w:eastAsia="Times New Roman" w:hAnsi="Times New Roman"/>
          <w:sz w:val="18"/>
          <w:szCs w:val="18"/>
          <w:color w:val="auto"/>
        </w:rPr>
      </w:pPr>
    </w:p>
    <w:p>
      <w:pPr>
        <w:ind w:left="4" w:hanging="4"/>
        <w:spacing w:after="0" w:line="251" w:lineRule="auto"/>
        <w:tabs>
          <w:tab w:leader="none" w:pos="21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Obligors’ and their Affiliates’ or Licensees’ (or any third party contractors therefor) manufacturing facilities, manufacturing or other processes, or marketing and sales, in each case which have identified any material deficiencies or violations of Applicable Laws or the permits related to the manufacture, marketing and/or sales of Anktiva that could reasonably be expected to result in a Material Adverse Effect, or (ii) any such Regulatory Approval that could be reasonably expected to result in a revocation or withdrawal of such Regulatory Approval, nor has any such Governmental Authority issued any order or recommendation stating that the development, testing, manufacturing, marketing or sales of Anktiva by any Obligor or any of the Obligors’ Affiliates or Licensees should cease or that Anktiva should be withdrawn from the marketplace. No Obligor nor any Subsidiary nor, to the actual knowledge of the Knowledge Persons, any Affiliate or Licensee of any Obligor, has experienced any significant failures in manufacturing Anktiva for commercial sale or use in Clinical Trials that has had or could reasonably be expected to have, if such failure occurred again, a Material Adverse Effect.</w:t>
      </w:r>
    </w:p>
    <w:p>
      <w:pPr>
        <w:spacing w:after="0" w:line="85" w:lineRule="exact"/>
        <w:rPr>
          <w:rFonts w:ascii="Times New Roman" w:cs="Times New Roman" w:eastAsia="Times New Roman" w:hAnsi="Times New Roman"/>
          <w:sz w:val="18"/>
          <w:szCs w:val="18"/>
          <w:color w:val="auto"/>
        </w:rPr>
      </w:pPr>
    </w:p>
    <w:p>
      <w:pPr>
        <w:ind w:left="4" w:right="320" w:firstLine="436"/>
        <w:spacing w:after="0" w:line="261" w:lineRule="auto"/>
        <w:tabs>
          <w:tab w:leader="none" w:pos="699"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Obligor, nor any Subsidiary of any Obligor, nor their respective officers, employees or agents, nor, to the actual knowledge of the Knowledge Persons, any Affiliate or Licensee of any Obligor, has been convicted of any crime or engaged in any conduct for which (i) debarment is mandated by 21 U.S.C. § 335a(a) or authorized by 21 U.S.C. § 335a(b); or (ii) exclusion is required pursuant to 42 U.S.C. § 1320a-7b and related regulations, nor is any such debarment or exclusion threatened or pending.</w:t>
      </w:r>
    </w:p>
    <w:p>
      <w:pPr>
        <w:spacing w:after="0" w:line="71" w:lineRule="exact"/>
        <w:rPr>
          <w:rFonts w:ascii="Times New Roman" w:cs="Times New Roman" w:eastAsia="Times New Roman" w:hAnsi="Times New Roman"/>
          <w:sz w:val="18"/>
          <w:szCs w:val="18"/>
          <w:color w:val="auto"/>
        </w:rPr>
      </w:pPr>
    </w:p>
    <w:p>
      <w:pPr>
        <w:ind w:left="4" w:right="100" w:firstLine="436"/>
        <w:spacing w:after="0" w:line="258" w:lineRule="auto"/>
        <w:tabs>
          <w:tab w:leader="none" w:pos="699"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Obligor, nor any Subsidiary of any Obligor, nor, to the actual knowledge of the Knowledge Persons, any Affiliate or Licensee of any Obligor, has received from the FDA, a warning letter, Form FDA-483, “Untitled Letter,” or similar written correspondence or notice alleging violations of laws and regulations enforced by the FDA, or any comparable correspondence from any other Governmental Authority, the subject of which communication is unresolved and if determined adversely to such Obligor, Affiliate or Licensee could reasonably be expected to have a Material Adverse Effect.</w:t>
      </w:r>
    </w:p>
    <w:p>
      <w:pPr>
        <w:spacing w:after="0" w:line="75" w:lineRule="exact"/>
        <w:rPr>
          <w:sz w:val="20"/>
          <w:szCs w:val="20"/>
          <w:color w:val="auto"/>
        </w:rPr>
      </w:pPr>
    </w:p>
    <w:p>
      <w:pPr>
        <w:jc w:val="both"/>
        <w:ind w:left="4" w:right="100" w:firstLine="440"/>
        <w:spacing w:after="0" w:line="289" w:lineRule="auto"/>
        <w:rPr>
          <w:sz w:val="20"/>
          <w:szCs w:val="20"/>
          <w:color w:val="auto"/>
        </w:rPr>
      </w:pPr>
      <w:r>
        <w:rPr>
          <w:rFonts w:ascii="Times New Roman" w:cs="Times New Roman" w:eastAsia="Times New Roman" w:hAnsi="Times New Roman"/>
          <w:sz w:val="17"/>
          <w:szCs w:val="17"/>
          <w:color w:val="auto"/>
        </w:rPr>
        <w:t>(i) (i) There have been no Safety Notices, (ii) to the Knowledge of the Obligors, there are no unresolved material product complaints which could reasonably be expected to have a Material Adverse Effect, and (iii) to the Knowledge of the Obligors, there are no facts that would be reasonably likely to result in (A) a material Safety Notice, (B) a material change in the labeling of Anktiva, or (C) a termination or suspension of marketing of Anktiva.</w:t>
      </w:r>
    </w:p>
    <w:p>
      <w:pPr>
        <w:spacing w:after="0" w:line="50" w:lineRule="exact"/>
        <w:rPr>
          <w:sz w:val="20"/>
          <w:szCs w:val="20"/>
          <w:color w:val="auto"/>
        </w:rPr>
      </w:pPr>
    </w:p>
    <w:p>
      <w:pPr>
        <w:ind w:left="4" w:right="80" w:firstLine="436"/>
        <w:spacing w:after="0" w:line="261" w:lineRule="auto"/>
        <w:tabs>
          <w:tab w:leader="none" w:pos="65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Obligors and their Subsidiaries and, to the actual knowledge of the Knowledge Persons, the Obligors’ Affiliates and Licensees, are in material compliance with all applicable federal, state and local laws and regulations regarding the privacy and security of health information and electronic transactions, including the Health Insurance Portability and Accountability Act (HIPAA), and has implemented adequate policies, procedures and training designed to assure continued compliance and to detect non-compliance.</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4"/>
          </w:cols>
          <w:pgMar w:left="436" w:top="270" w:right="459" w:bottom="1440" w:gutter="0" w:footer="0" w:header="0"/>
        </w:sectPr>
      </w:pPr>
    </w:p>
    <w:bookmarkStart w:id="65" w:name="page66"/>
    <w:bookmarkEnd w:id="65"/>
    <w:p>
      <w:pPr>
        <w:ind w:right="20" w:firstLine="436"/>
        <w:spacing w:after="0" w:line="256" w:lineRule="auto"/>
        <w:tabs>
          <w:tab w:leader="none" w:pos="69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Obligors have made available to the Purchaser Agent all Clinical Trial Applications and Regulatory Approvals and all material correspondence with Governmental Authorities (including the FDA) with respect to such Clinical Trial Applications and Regulatory Approvals, in each case with respect to Anktiva for treatment of BCG-unresponsive non-muscle invasive bladder carcinoma in situ and all requested documents related to Anktiva for treatment of BCG-unresponsive non-muscle invasive bladder carcinoma in situ, in each case in the possession and control of the Obligors or their Subsidiaries. The Obligors have not withheld any document or information that could reasonably be considered to be material to the Purchasers’ decision to provide the financing contemplated by this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3.14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Schedule 3.14 to the Disclosure Letter (which may be updated by the Obligors from time to time by written notice to the Purchaser Agent) sets forth a true and complete list of all Material Contracts. The Obligors have made available to Purchaser Agent correct and complete copies of all Material Contracts, the Beike License Agreement, and of the Dunkirk Lease and all documents related or ancillary thereto. Neither the Company nor any Subsidiary of the Company is in breach of any Material Contract or in default under any Material Contract which breach or default, individually or in the aggregate, could reasonably be expected to result in a Material Adverse Effect. There is no event or circumstance that with notice or lapse of time, or both, could reasonably be expected to (a) constitute a material breach or default by the Company and/or its Subsidiaries or (to the Knowledge of the Obligors) any other party under any Material Contract, (b) give any other party to any Material Contract the right to accelerate the maturity or performance of any Material Contract or (c) give any Person the right to cancel, terminate or modify any Material Contract. To the Knowledge of the Obligors, nothing has occurred and no condition exists that would permit any other party thereto to terminate any Material Contract. Neither the Company nor its Subsidiaries has received any notice or, to the Knowledge of the Obligors, any threat of termination of any such Material Contract. To the Knowledge of the Obligors, no other party to a Material Contract is in material breach of or in material default under such Material Contract. All Material Contracts are valid and binding on the Company and its Subsidiaries, as applicable and, to the Knowledge of the Obligors, on each other party thereto, and are in full force and effect.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3.15 </w:t>
      </w:r>
      <w:r>
        <w:rPr>
          <w:rFonts w:ascii="Times New Roman" w:cs="Times New Roman" w:eastAsia="Times New Roman" w:hAnsi="Times New Roman"/>
          <w:sz w:val="18"/>
          <w:szCs w:val="18"/>
          <w:u w:val="single" w:color="auto"/>
          <w:color w:val="auto"/>
        </w:rPr>
        <w:t>Perfection Certificate.</w:t>
      </w:r>
    </w:p>
    <w:p>
      <w:pPr>
        <w:spacing w:after="0" w:line="12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this Agreement, the Company on behalf of itself and each other Obligor has delivered to Purchaser Agent a completed Perfection Certificate. The Perfection Certificate accurately sets forth (a) each Obligor’s exact legal name, organization type and jurisdiction, and organizational or company identification number (or accurately states that such Obligor has none); and (b) each Obligor’s place of business, or, if more than one, its chief executive office or principal place of business, as applicable, as well as each Obligor’s mailing address (if different than its chief executive office). Except as noted in the Perfection Certificate, each Obligor (and each of its respective predecessors) have not, in the past five (5) years, changed its jurisdiction of organization or incorporation, organizational structure or type, or any organizational or company number assigned by its jurisdiction. All other information set forth on the Perfection Certificate pertaining to the Obligors and the Subsidiaries, is true, correct and complete in all material respects.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3.16 </w:t>
      </w:r>
      <w:r>
        <w:rPr>
          <w:rFonts w:ascii="Times New Roman" w:cs="Times New Roman" w:eastAsia="Times New Roman" w:hAnsi="Times New Roman"/>
          <w:sz w:val="18"/>
          <w:szCs w:val="18"/>
          <w:u w:val="single" w:color="auto"/>
          <w:color w:val="auto"/>
        </w:rPr>
        <w:t>Customers and Suppliers.</w:t>
      </w:r>
    </w:p>
    <w:p>
      <w:pPr>
        <w:spacing w:after="0" w:line="12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There exists no actual or, to the Knowledge of the Obligors, threatened (in writing) termination, cancellation or limitation of, or modification to or change in, the business relationship between (i) any Obligor, on the one hand, and any customer or any group thereof, on the other hand, or (ii) any Obligor, on the one hand, and any supplier or any group thereof, on the other hand, in either case, which, individually or in the aggregate, could reasonably be expected to have a Material Adverse Effect.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70"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3.17 </w:t>
      </w:r>
      <w:r>
        <w:rPr>
          <w:rFonts w:ascii="Times New Roman" w:cs="Times New Roman" w:eastAsia="Times New Roman" w:hAnsi="Times New Roman"/>
          <w:sz w:val="18"/>
          <w:szCs w:val="18"/>
          <w:u w:val="single" w:color="auto"/>
          <w:color w:val="auto"/>
        </w:rPr>
        <w:t>Perfection; Subordination.</w:t>
      </w:r>
    </w:p>
    <w:p>
      <w:pPr>
        <w:spacing w:after="0" w:line="12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Transaction Documents create valid security interests in, and Liens on, the Collateral purported to be covered thereby, securing the Obligations, which security interests and Liens will be, upon the timely and proper filings, deliveries, notations and other actions contemplated in the Transaction Documents perfected security interests and Liens (to the extent that such security interests and Liens can be perfected by such filings, deliveries, notations and other actions). The claims and rights of the Purchaser Agent and the Purchasers created by any Transaction Document are not and shall not be subordinated to any creditor of any Obligor or any other Person, and the Liens created pursuant to the Transaction Documents will have first ranking priority and will not be subject to any prior ranking or pari passu ranking Lien other than Permitted Priority Liens.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3.18 </w:t>
      </w:r>
      <w:r>
        <w:rPr>
          <w:rFonts w:ascii="Times New Roman" w:cs="Times New Roman" w:eastAsia="Times New Roman" w:hAnsi="Times New Roman"/>
          <w:sz w:val="18"/>
          <w:szCs w:val="18"/>
          <w:u w:val="single" w:color="auto"/>
          <w:color w:val="auto"/>
        </w:rPr>
        <w:t>Insurance.</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There are in full force and effect insurance policies maintained by reputable insurance companies in accordance with standards customary for companies such as the Obligors, with coverage of the Company and each of its Subsidiaries in amounts customary for companies of comparable size and condition similarly situated in the same industry as, subject only to such exclusions and deductible items as are usual and customary in insurance policies of such type.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3.19 </w:t>
      </w:r>
      <w:r>
        <w:rPr>
          <w:rFonts w:ascii="Times New Roman" w:cs="Times New Roman" w:eastAsia="Times New Roman" w:hAnsi="Times New Roman"/>
          <w:sz w:val="18"/>
          <w:szCs w:val="18"/>
          <w:u w:val="single" w:color="auto"/>
          <w:color w:val="auto"/>
        </w:rPr>
        <w:t>Tax.</w:t>
      </w:r>
    </w:p>
    <w:p>
      <w:pPr>
        <w:spacing w:after="0" w:line="121"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Each of the Company and its Subsidiaries has timely filed all Tax Returns and has paid all Taxes prior to delinquency, except to the extent such Tax Returns or Taxes (a) are being contested in good faith by appropriate proceedings diligently conducted and with appropriate reserves in accordance with GAAP or (b) to the extent that the failure to do so could not reasonably be expected to have a Material Adverse Effect. There are no Liens in respect of Taxes applicable to the Company or any of its Subsidiaries except Permitted Liens.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3.20 </w:t>
      </w:r>
      <w:r>
        <w:rPr>
          <w:rFonts w:ascii="Times New Roman" w:cs="Times New Roman" w:eastAsia="Times New Roman" w:hAnsi="Times New Roman"/>
          <w:sz w:val="18"/>
          <w:szCs w:val="18"/>
          <w:u w:val="single" w:color="auto"/>
          <w:color w:val="auto"/>
        </w:rPr>
        <w:t>SEC Reports.</w:t>
      </w:r>
    </w:p>
    <w:p>
      <w:pPr>
        <w:spacing w:after="0" w:line="121" w:lineRule="exact"/>
        <w:rPr>
          <w:sz w:val="20"/>
          <w:szCs w:val="20"/>
          <w:color w:val="auto"/>
        </w:rPr>
      </w:pPr>
    </w:p>
    <w:p>
      <w:pPr>
        <w:ind w:right="420" w:firstLine="440"/>
        <w:spacing w:after="0" w:line="266" w:lineRule="auto"/>
        <w:rPr>
          <w:sz w:val="20"/>
          <w:szCs w:val="20"/>
          <w:color w:val="auto"/>
        </w:rPr>
      </w:pPr>
      <w:r>
        <w:rPr>
          <w:rFonts w:ascii="Times New Roman" w:cs="Times New Roman" w:eastAsia="Times New Roman" w:hAnsi="Times New Roman"/>
          <w:sz w:val="18"/>
          <w:szCs w:val="18"/>
          <w:color w:val="auto"/>
        </w:rPr>
        <w:t>All reports required to be filed by the Company under the Exchange Act have been duly filed, were in substantial compliance with the requirements of their respective forms, and did not, as of the date filed, contain any untrue statement of material fact or omit to state a material fact necessary in order to make the statements made therein in light of the circumstances under which they were made not misleading.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3.21 </w:t>
      </w:r>
      <w:r>
        <w:rPr>
          <w:rFonts w:ascii="Times New Roman" w:cs="Times New Roman" w:eastAsia="Times New Roman" w:hAnsi="Times New Roman"/>
          <w:sz w:val="18"/>
          <w:szCs w:val="18"/>
          <w:u w:val="single" w:color="auto"/>
          <w:color w:val="auto"/>
        </w:rPr>
        <w:t>Investment Company Act.</w:t>
      </w:r>
    </w:p>
    <w:p>
      <w:pPr>
        <w:spacing w:after="0" w:line="121"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None of the Company or any of its Subsidiaries is required to register as an “investment company” or a company “controlled” by an “investment company,” within the meaning of the Investment Company Act of 1940.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3.22 </w:t>
      </w:r>
      <w:r>
        <w:rPr>
          <w:rFonts w:ascii="Times New Roman" w:cs="Times New Roman" w:eastAsia="Times New Roman" w:hAnsi="Times New Roman"/>
          <w:sz w:val="18"/>
          <w:szCs w:val="18"/>
          <w:u w:val="single" w:color="auto"/>
          <w:color w:val="auto"/>
        </w:rPr>
        <w:t>OFAC; Anti-Terrorism Laws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right="100" w:firstLine="436"/>
        <w:spacing w:after="0" w:line="289" w:lineRule="auto"/>
        <w:tabs>
          <w:tab w:leader="none" w:pos="685"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Company, any Subsidiary of the Company nor, to the Knowledge of the Obligors, any Affiliate is a Person that is, or is owned or controlled by persons that are (i) the subject of any economic or financial sanctions or trade embargoes imposed, administered or enforced from time to time by the Sanctions Authority (collectively, “</w:t>
      </w:r>
      <w:r>
        <w:rPr>
          <w:rFonts w:ascii="Times New Roman" w:cs="Times New Roman" w:eastAsia="Times New Roman" w:hAnsi="Times New Roman"/>
          <w:sz w:val="17"/>
          <w:szCs w:val="17"/>
          <w:u w:val="single" w:color="auto"/>
          <w:color w:val="auto"/>
        </w:rPr>
        <w:t>Sanctions</w:t>
      </w:r>
      <w:r>
        <w:rPr>
          <w:rFonts w:ascii="Times New Roman" w:cs="Times New Roman" w:eastAsia="Times New Roman" w:hAnsi="Times New Roman"/>
          <w:sz w:val="17"/>
          <w:szCs w:val="17"/>
          <w:color w:val="auto"/>
        </w:rPr>
        <w:t>”) or (ii) located, organized or resident in a country or territory that is the subject of Sanctions.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66" w:right="459" w:bottom="1440" w:gutter="0" w:footer="0" w:header="0"/>
        </w:sectPr>
      </w:pPr>
    </w:p>
    <w:bookmarkStart w:id="67" w:name="page68"/>
    <w:bookmarkEnd w:id="67"/>
    <w:p>
      <w:pPr>
        <w:ind w:right="20" w:firstLine="436"/>
        <w:spacing w:after="0" w:line="258" w:lineRule="auto"/>
        <w:tabs>
          <w:tab w:leader="none" w:pos="69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Company, its Subsidiaries and respective directors, officers and employees and, to the Knowledge of the Obligors, the agents and Affiliates of the Company and its Subsidiaries are in compliance with the U.S. Foreign Corrupt Practices Act of 1977, as amended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and are in compliance in all material respects with all applicable Sanctions and any other applicable anti-corruption law. The Company and its Subsidiaries have instituted and maintain policies and procedures designed to ensure continued compliance with applicable Sanctions, the FCPA and any other applicable anti-corruption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3.23 </w:t>
      </w:r>
      <w:r>
        <w:rPr>
          <w:rFonts w:ascii="Times New Roman" w:cs="Times New Roman" w:eastAsia="Times New Roman" w:hAnsi="Times New Roman"/>
          <w:sz w:val="18"/>
          <w:szCs w:val="18"/>
          <w:u w:val="single" w:color="auto"/>
          <w:color w:val="auto"/>
        </w:rPr>
        <w:t>Broker’s Fees.</w:t>
      </w:r>
    </w:p>
    <w:p>
      <w:pPr>
        <w:spacing w:after="0" w:line="121"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Except for any commission or broker’s fee set forth on </w:t>
      </w:r>
      <w:r>
        <w:rPr>
          <w:rFonts w:ascii="Times New Roman" w:cs="Times New Roman" w:eastAsia="Times New Roman" w:hAnsi="Times New Roman"/>
          <w:sz w:val="18"/>
          <w:szCs w:val="18"/>
          <w:u w:val="single" w:color="auto"/>
          <w:color w:val="auto"/>
        </w:rPr>
        <w:t>Schedule 3.23</w:t>
      </w:r>
      <w:r>
        <w:rPr>
          <w:rFonts w:ascii="Times New Roman" w:cs="Times New Roman" w:eastAsia="Times New Roman" w:hAnsi="Times New Roman"/>
          <w:sz w:val="18"/>
          <w:szCs w:val="18"/>
          <w:color w:val="auto"/>
        </w:rPr>
        <w:t xml:space="preserve"> to the Disclosure Letter, the Company and its Subsidiaries have not taken any action that would entitle any Person to any commission or broker’s fee in connection with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3.24 </w:t>
      </w:r>
      <w:r>
        <w:rPr>
          <w:rFonts w:ascii="Times New Roman" w:cs="Times New Roman" w:eastAsia="Times New Roman" w:hAnsi="Times New Roman"/>
          <w:sz w:val="18"/>
          <w:szCs w:val="18"/>
          <w:u w:val="single" w:color="auto"/>
          <w:color w:val="auto"/>
        </w:rPr>
        <w:t>Put Option Event.</w:t>
      </w:r>
    </w:p>
    <w:p>
      <w:pPr>
        <w:spacing w:after="0" w:line="121"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No Put Option Event has occurred and is continuing, and no event has occurred and is continuing which, with the giving of notice or passage of time, or both, would constitute a Put Option Event.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3.25 </w:t>
      </w:r>
      <w:r>
        <w:rPr>
          <w:rFonts w:ascii="Times New Roman" w:cs="Times New Roman" w:eastAsia="Times New Roman" w:hAnsi="Times New Roman"/>
          <w:sz w:val="18"/>
          <w:szCs w:val="18"/>
          <w:u w:val="single" w:color="auto"/>
          <w:color w:val="auto"/>
        </w:rPr>
        <w:t>Disclosure.</w:t>
      </w:r>
    </w:p>
    <w:p>
      <w:pPr>
        <w:spacing w:after="0" w:line="12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Obligors have disclosed to the Purchasers all agreements, instruments and corporate or other restrictions to which it or any of its Subsidiaries is subject, and all other matters known to it, that, in each case, either individually or in the aggregate, could reasonably be expected to result in a Material Adverse Effect. All information heretofore furnished to the Purchaser Agent or any Purchaser by or on behalf of the Company for purposes of or in connection with any Transaction Document or any transaction contemplated hereby, including with respect to Clinical Trial Applications and Regulatory Approvals, after giving effect to all supplements thereto made prior to the Closing Date or the Second Purchaser Payment Date, as applicable, is or will be, true, complete and correct in every material respect, and no report, financial statement, certificate or other information furnished (whether written or oral) by or on behalf of the Company or its Subsidiaries to the Purchasers in connection with the transactions contemplated hereby and the negotiation of this Agreement or delivered hereunder or under any other Transaction Document (in each case, as modified or supplemented by other information so furnished) contains any material misstatement of fact or omits to state any fact necessary to make the statements therein, in the light of the circumstances under which they were made, not misleading, in each case, as of the time so made or furnished; provided, that, with respect to financial projections, estimates, budgets or other forward-looking information, the Company and its Subsidiaries represent only that such information was prepared in good faith based upon assumptions believed by the Obligors to be reasonable at the time such information was prepared (it being understood that (a) such information is as to future events, is not to be viewed as facts, and is subject to significant uncertainties and contingencies, many of which are beyond the control of the Company and its Subsidiaries, (b) no assurance can be given that any particular projection, estimate, budget or forecast will be realized and (c) actual results during the period or periods covered by any such projections, estimate, budgets or forecasts may differ significantly from the projected results and such differences may be material).</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3.26 </w:t>
      </w:r>
      <w:r>
        <w:rPr>
          <w:rFonts w:ascii="Times New Roman" w:cs="Times New Roman" w:eastAsia="Times New Roman" w:hAnsi="Times New Roman"/>
          <w:sz w:val="18"/>
          <w:szCs w:val="18"/>
          <w:u w:val="single" w:color="auto"/>
          <w:color w:val="auto"/>
        </w:rPr>
        <w:t>ERISA Compliance, Employee and Labor Matters; Pension Matters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right="220" w:firstLine="436"/>
        <w:spacing w:after="0" w:line="256" w:lineRule="auto"/>
        <w:tabs>
          <w:tab w:leader="none" w:pos="68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could not reasonably be expected, either individually or in the aggregate, to result in a Material Adverse Effect, (i) each Plan is in compliance with the applicable provisions of ERISA, the Code and other federal or state laws and (ii) each Plan that is intended to be a qualified plan under Section 401(a) of the Code has received a favorable determination letter from the IRS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and, to the Knowledge of the Obligors, nothing has occurred that would prevent or cause the loss of such tax-qualified status.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70" w:right="459" w:bottom="1440" w:gutter="0" w:footer="0" w:header="0"/>
        </w:sectPr>
      </w:pPr>
    </w:p>
    <w:bookmarkStart w:id="68" w:name="page69"/>
    <w:bookmarkEnd w:id="68"/>
    <w:p>
      <w:pPr>
        <w:ind w:left="-20" w:right="500" w:firstLine="436"/>
        <w:spacing w:after="0" w:line="261" w:lineRule="auto"/>
        <w:tabs>
          <w:tab w:leader="none" w:pos="67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are no pending or, to the Knowledge of the Obligors, threatened or contemplated claims, actions or lawsuits, or action by any Governmental Authority, with respect to any Plan that, either individually or in the aggregate, could reasonably be expected to result in a Material Adverse Effect. There has been no prohibited transaction or violation of the fiduciary responsibility rules with respect to any Plan that, either individually or in the aggregate, has had or could reasonably be expected to result in a Material Adverse Effect.</w:t>
      </w:r>
    </w:p>
    <w:p>
      <w:pPr>
        <w:spacing w:after="0" w:line="71" w:lineRule="exact"/>
        <w:rPr>
          <w:rFonts w:ascii="Times New Roman" w:cs="Times New Roman" w:eastAsia="Times New Roman" w:hAnsi="Times New Roman"/>
          <w:sz w:val="18"/>
          <w:szCs w:val="18"/>
          <w:color w:val="auto"/>
        </w:rPr>
      </w:pPr>
    </w:p>
    <w:p>
      <w:pPr>
        <w:ind w:left="-20" w:right="80" w:firstLine="436"/>
        <w:spacing w:after="0" w:line="266" w:lineRule="auto"/>
        <w:tabs>
          <w:tab w:leader="none" w:pos="66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ERISA Event has occurred, and no Obligor nor any ERISA Affiliate is aware of any fact, event or circumstance that, either individually or in the aggregate, could reasonably be expected to constitute or result in an ERISA Event with respect to any Pension Plan that, either individually or in the aggregate, has had or could reasonably be expected to result in a Material Adverse Effect.</w:t>
      </w:r>
    </w:p>
    <w:p>
      <w:pPr>
        <w:spacing w:after="0" w:line="67" w:lineRule="exact"/>
        <w:rPr>
          <w:rFonts w:ascii="Times New Roman" w:cs="Times New Roman" w:eastAsia="Times New Roman" w:hAnsi="Times New Roman"/>
          <w:sz w:val="18"/>
          <w:szCs w:val="18"/>
          <w:color w:val="auto"/>
        </w:rPr>
      </w:pPr>
    </w:p>
    <w:p>
      <w:pPr>
        <w:ind w:left="-20" w:right="40" w:firstLine="436"/>
        <w:spacing w:after="0" w:line="258" w:lineRule="auto"/>
        <w:tabs>
          <w:tab w:leader="none" w:pos="67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of all accrued benefits under each Pension Plan (based on those assumptions used to fund such Pension Plan) did not, as of the last annual valuation date prior to the date on which this representation is made or deemed made, exceed the value of the assets of such Pension Plan allocable to such accrued benefits by a material amount. As of the most recent valuation date for each Multiemployer Plan, the potential liability of any Obligor or any ERISA Affiliate for a complete withdrawal from such Multiemployer Plan (within the meaning of Section 4203 or Section 4205 of ERISA), when aggregated with such potential liability for a complete withdrawal from all Multiemployer Plans, is zero.</w:t>
      </w:r>
    </w:p>
    <w:p>
      <w:pPr>
        <w:spacing w:after="0" w:line="75" w:lineRule="exact"/>
        <w:rPr>
          <w:rFonts w:ascii="Times New Roman" w:cs="Times New Roman" w:eastAsia="Times New Roman" w:hAnsi="Times New Roman"/>
          <w:sz w:val="18"/>
          <w:szCs w:val="18"/>
          <w:color w:val="auto"/>
        </w:rPr>
      </w:pPr>
    </w:p>
    <w:p>
      <w:pPr>
        <w:ind w:left="-20" w:right="40" w:firstLine="436"/>
        <w:spacing w:after="0" w:line="254" w:lineRule="auto"/>
        <w:tabs>
          <w:tab w:leader="none" w:pos="66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each Foreign Plan has been maintained in compliance with its terms and with the requirements of any and all Applicable Law and has been maintained, where required, in good standing with applicable regulatory authorities, except to the extent that the failure so to comply could not reasonably be expected, either individually or in the aggregate, to result in a Material Adverse Effect. Neither the Company nor any of its Subsidiaries has incurred or could reasonably be expected to incur any material obligation in connection with the termination of or withdrawal from any Foreign Plan. The present value of the accrued benefit liabilities (whether or not vested) under each Foreign Plan that is funded, determined as of the end of the most recently ended fiscal year of the Company or any of its Subsidiaries, as applicable, on the basis of actuarial assumptions, each of which is reasonable, did not exceed the current value of the property of such Foreign Plan by a material amount, and for each Foreign Plan that is not funded, the obligations of such Foreign Plan are properly accrued.</w:t>
      </w:r>
    </w:p>
    <w:p>
      <w:pPr>
        <w:spacing w:after="0" w:line="83" w:lineRule="exact"/>
        <w:rPr>
          <w:rFonts w:ascii="Times New Roman" w:cs="Times New Roman" w:eastAsia="Times New Roman" w:hAnsi="Times New Roman"/>
          <w:sz w:val="18"/>
          <w:szCs w:val="18"/>
          <w:color w:val="auto"/>
        </w:rPr>
      </w:pPr>
    </w:p>
    <w:p>
      <w:pPr>
        <w:ind w:left="-20" w:firstLine="436"/>
        <w:spacing w:after="0" w:line="282" w:lineRule="auto"/>
        <w:tabs>
          <w:tab w:leader="none" w:pos="64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any liability under ERISA or the Code with respect to any citizen of the United States who performs services outside of the United States.</w:t>
      </w:r>
    </w:p>
    <w:p>
      <w:pPr>
        <w:spacing w:after="0" w:line="53" w:lineRule="exact"/>
        <w:rPr>
          <w:rFonts w:ascii="Times New Roman" w:cs="Times New Roman" w:eastAsia="Times New Roman" w:hAnsi="Times New Roman"/>
          <w:sz w:val="18"/>
          <w:szCs w:val="18"/>
          <w:color w:val="auto"/>
        </w:rPr>
      </w:pPr>
    </w:p>
    <w:p>
      <w:pPr>
        <w:ind w:left="-20" w:right="580" w:firstLine="436"/>
        <w:spacing w:after="0" w:line="282" w:lineRule="auto"/>
        <w:tabs>
          <w:tab w:leader="none" w:pos="67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and except as disclosed to Purchaser Agent in writing after the Closing Date, there are no collective bargaining agreements covering employees of any Obligor or any of its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80"/>
          </w:cols>
          <w:pgMar w:left="460" w:top="270" w:right="45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 OF THE PURCHASERS</w:t>
      </w:r>
    </w:p>
    <w:p>
      <w:pPr>
        <w:spacing w:after="0" w:line="225"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Each Purchaser represents and warrants to the Company, as of the Closing Date </w:t>
      </w:r>
      <w:r>
        <w:rPr>
          <w:rFonts w:ascii="Times New Roman" w:cs="Times New Roman" w:eastAsia="Times New Roman" w:hAnsi="Times New Roman"/>
          <w:sz w:val="18"/>
          <w:szCs w:val="18"/>
          <w:color w:val="FF0000"/>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on the Second </w:t>
      </w:r>
      <w:r>
        <w:rPr>
          <w:rFonts w:ascii="Times New Roman" w:cs="Times New Roman" w:eastAsia="Times New Roman" w:hAnsi="Times New Roman"/>
          <w:sz w:val="18"/>
          <w:szCs w:val="18"/>
          <w:u w:val="single" w:color="auto"/>
          <w:color w:val="0000FF"/>
        </w:rPr>
        <w:t>Purchaser Payment Date and on the Third</w:t>
      </w:r>
      <w:r>
        <w:rPr>
          <w:rFonts w:ascii="Times New Roman" w:cs="Times New Roman" w:eastAsia="Times New Roman" w:hAnsi="Times New Roman"/>
          <w:sz w:val="18"/>
          <w:szCs w:val="18"/>
          <w:color w:val="auto"/>
        </w:rPr>
        <w:t xml:space="preserve"> Purchaser Payment Date,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-236855</wp:posOffset>
            </wp:positionV>
            <wp:extent cx="19367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93675" cy="8890"/>
                    </a:xfrm>
                    <a:prstGeom prst="rect">
                      <a:avLst/>
                    </a:prstGeom>
                    <a:noFill/>
                  </pic:spPr>
                </pic:pic>
              </a:graphicData>
            </a:graphic>
          </wp:anchor>
        </w:drawing>
        <w:drawing>
          <wp:anchor simplePos="0" relativeHeight="251657728" behindDoc="1" locked="0" layoutInCell="0" allowOverlap="1">
            <wp:simplePos x="0" y="0"/>
            <wp:positionH relativeFrom="column">
              <wp:posOffset>4112260</wp:posOffset>
            </wp:positionH>
            <wp:positionV relativeFrom="paragraph">
              <wp:posOffset>-151130</wp:posOffset>
            </wp:positionV>
            <wp:extent cx="254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4840605</wp:posOffset>
            </wp:positionH>
            <wp:positionV relativeFrom="paragraph">
              <wp:posOffset>-151130</wp:posOffset>
            </wp:positionV>
            <wp:extent cx="191135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4.01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Such Purchaser is a duly organized and validly existing under the laws of its jurisdiction of organization.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4.02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Such Purchaser has all necessary power and authority to enter into, execute and deliver the Transaction Documents and to perform all of the obligations to be performed by it hereunder and thereunder and to consummate the transactions contemplated hereunder and thereunder. The Transaction Documents have been duly authorized, executed and delivered by such Purchaser and each Transaction Document constitutes the valid and binding obligation of such Purchaser, enforceable against such Purchaser in accordance with their respective terms, subject, as to enforcement of remedies, to bankruptcy, insolvency, reorganization, moratorium or similar laws affecting creditors’ rights generally or general equitable principles.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4.03 </w:t>
      </w:r>
      <w:r>
        <w:rPr>
          <w:rFonts w:ascii="Times New Roman" w:cs="Times New Roman" w:eastAsia="Times New Roman" w:hAnsi="Times New Roman"/>
          <w:sz w:val="18"/>
          <w:szCs w:val="18"/>
          <w:u w:val="single" w:color="auto"/>
          <w:color w:val="auto"/>
        </w:rPr>
        <w:t>Broker’s Fees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Such Purchaser has not taken any action that would entitle any Person to any commission or broker’s fee in connection with the transactions contemplated by the Transaction Documents.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4.04 </w:t>
      </w:r>
      <w:r>
        <w:rPr>
          <w:rFonts w:ascii="Times New Roman" w:cs="Times New Roman" w:eastAsia="Times New Roman" w:hAnsi="Times New Roman"/>
          <w:sz w:val="18"/>
          <w:szCs w:val="18"/>
          <w:u w:val="single" w:color="auto"/>
          <w:color w:val="auto"/>
        </w:rPr>
        <w:t>Conflicts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Neither the execution and delivery of this Agreement or any other Transaction Document to which such Purchaser is a party nor the performance or consummation of the transactions contemplated hereby or thereby will: (a) contravene, conflict with, result in a breach or violation of, constitute a default under, or accelerate the performance provided by, in any material respects any provisions of: (i) any law, rule or regulation of any Governmental Authority, or any judgment, order, writ, decree, permit or license of any Governmental Authority, to which such Purchaser or any of its assets or properties may be subject or bound; or (ii) any contract, agreement, commitment or instrument to which such Purchaser is a party or by which such Purchaser or any of its assets or properties is bound or committed; (b) contravene, conflict with, result in a breach or violation of, constitute a default under, or accelerate the performance provided by, any provisions of the organizational or constitutional documents of such Purchaser; or (c) require any notification to, filing with, or consent of, any Person or Governmental Authority, except, in the case of the foregoing clauses (a) or (c), as would not, individually or in the aggregate, have a material adverse effect on the ability of such Purchaser to perform any of its obligations under the Transaction Documents.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4.05 </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Each Purchaser has sufficient funds (or sufficient commitments from its investors to provide funds) available to </w:t>
      </w:r>
      <w:r>
        <w:rPr>
          <w:rFonts w:ascii="Times New Roman" w:cs="Times New Roman" w:eastAsia="Times New Roman" w:hAnsi="Times New Roman"/>
          <w:sz w:val="18"/>
          <w:szCs w:val="18"/>
          <w:color w:val="FF0000"/>
          <w:strike w:val="1"/>
        </w:rPr>
        <w:t>make its Pro Rata Portion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rPr>
        <w:t>fund its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Purchaser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Payments</w:t>
      </w:r>
      <w:r>
        <w:rPr>
          <w:rFonts w:ascii="Times New Roman" w:cs="Times New Roman" w:eastAsia="Times New Roman" w:hAnsi="Times New Roman"/>
          <w:sz w:val="18"/>
          <w:szCs w:val="18"/>
          <w:u w:val="single" w:color="auto"/>
          <w:color w:val="0000FF"/>
        </w:rPr>
        <w:t>Commitment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-13970</wp:posOffset>
            </wp:positionV>
            <wp:extent cx="3511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51155" cy="8255"/>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-13970</wp:posOffset>
            </wp:positionV>
            <wp:extent cx="60007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66" w:right="459" w:bottom="1440" w:gutter="0" w:footer="0" w:header="0"/>
        </w:sectPr>
      </w:pPr>
    </w:p>
    <w:bookmarkStart w:id="70" w:name="page71"/>
    <w:bookmarkEnd w:id="7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COVENANTS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From the date hereof through and including the end of the Revenue Interest Period, the following covenants shall apply: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5.01 </w:t>
      </w:r>
      <w:r>
        <w:rPr>
          <w:rFonts w:ascii="Times New Roman" w:cs="Times New Roman" w:eastAsia="Times New Roman" w:hAnsi="Times New Roman"/>
          <w:sz w:val="18"/>
          <w:szCs w:val="18"/>
          <w:u w:val="single" w:color="auto"/>
          <w:color w:val="auto"/>
        </w:rPr>
        <w:t>Notices; Access; Information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680" w:hanging="244"/>
        <w:spacing w:after="0"/>
        <w:tabs>
          <w:tab w:leader="none" w:pos="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The Obligors shall provide the written notice to the Purchaser Agent and the Purchasers of the following events:</w:t>
      </w:r>
    </w:p>
    <w:p>
      <w:pPr>
        <w:spacing w:after="0" w:line="117"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07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two (2) Business Days) upon Knowledge thereof, the occurrence of any Put Option Event, any event which, with the giving of notice or passage of time, or both, would constitute a Put Option Event, or any breach or default by any Obligor or Subsidiary of any covenant, agreement or other provision of this Agreement or any other Transaction Document;</w:t>
      </w:r>
    </w:p>
    <w:p>
      <w:pPr>
        <w:spacing w:after="0" w:line="67"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2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two (2) Business Days) upon Knowledge thereof, the occurrence of any Material Adverse Effect or any event which could reasonably be expected to have a Material Adverse Effect;</w:t>
      </w:r>
    </w:p>
    <w:p>
      <w:pPr>
        <w:spacing w:after="0" w:line="53" w:lineRule="exact"/>
        <w:rPr>
          <w:rFonts w:ascii="Times New Roman" w:cs="Times New Roman" w:eastAsia="Times New Roman" w:hAnsi="Times New Roman"/>
          <w:sz w:val="18"/>
          <w:szCs w:val="18"/>
          <w:color w:val="auto"/>
        </w:rPr>
      </w:pPr>
    </w:p>
    <w:p>
      <w:pPr>
        <w:ind w:left="440" w:right="20" w:firstLine="419"/>
        <w:spacing w:after="0" w:line="256" w:lineRule="auto"/>
        <w:tabs>
          <w:tab w:leader="none" w:pos="117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Business Days upon (A) entry into any new Material Contract or amendment to any Material Contract, the Beike License Agreement or the Dunkirk Lease, which notice shall attach a copy of such Material Contract or amendment and, unless the Obligors have already publicly disclosed such information, set forth the material terms of such Material Contract or amendment with a description of its likely impact on the Company’s and its Subsidiaries’ business or financial condition or (B) (x) receipt of written notice of, or otherwise obtaining Knowledge of, any default or event of default under, or (y) any termination (other than expiration in accordance with its terms) of, any Material Contract, the Beike License Agreement or the Dunkirk Lease;</w:t>
      </w:r>
    </w:p>
    <w:p>
      <w:pPr>
        <w:spacing w:after="0" w:line="79"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6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five (5) Business Days) upon Knowledge thereof, any litigation or proceedings to which the Company or any Subsidiary is a party or which could reasonably be expected to have a Material Adverse Effect or which challenge the validity of the Transaction Documents or any of the transactions contemplated therein;</w:t>
      </w:r>
    </w:p>
    <w:p>
      <w:pPr>
        <w:spacing w:after="0" w:line="67"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11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five (5) Business Days) upon Knowledge thereof, the occurrence of (i) a manufacturing disruption which has had, or could reasonably be expected to have, individually or in the aggregate, a material adverse effect on the level of Net Sales of the Included Products or (ii) any circumstance, event or condition that has resulted in, or could reasonably be expected to result in, a recall of any Included Product;</w:t>
      </w:r>
    </w:p>
    <w:p>
      <w:pPr>
        <w:spacing w:after="0" w:line="71" w:lineRule="exact"/>
        <w:rPr>
          <w:rFonts w:ascii="Times New Roman" w:cs="Times New Roman" w:eastAsia="Times New Roman" w:hAnsi="Times New Roman"/>
          <w:sz w:val="18"/>
          <w:szCs w:val="18"/>
          <w:color w:val="auto"/>
        </w:rPr>
      </w:pPr>
    </w:p>
    <w:p>
      <w:pPr>
        <w:ind w:left="440" w:firstLine="419"/>
        <w:spacing w:after="0" w:line="258" w:lineRule="auto"/>
        <w:tabs>
          <w:tab w:leader="none" w:pos="116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five (5) Business Days) (A) upon Knowledge thereof, (i) any infringement by any Included Product of any Intellectual Property of a Third Party, (ii) any infringement by any Third Party of any Product Intellectual Property and (iii) any infringement by a Third Party of any other Intellectual Property material to the conduct of the Obligors’ business, and (B) after receipt of any written notice from a Third Party alleging or claiming that the making, having made, using, importing, offering for sale, or selling of any Included Product in the Covered Territory infringes any Patents of such Third Party, a copy of such notice;</w:t>
      </w:r>
    </w:p>
    <w:p>
      <w:pPr>
        <w:spacing w:after="0" w:line="75" w:lineRule="exact"/>
        <w:rPr>
          <w:rFonts w:ascii="Times New Roman" w:cs="Times New Roman" w:eastAsia="Times New Roman" w:hAnsi="Times New Roman"/>
          <w:sz w:val="18"/>
          <w:szCs w:val="18"/>
          <w:color w:val="auto"/>
        </w:rPr>
      </w:pPr>
    </w:p>
    <w:p>
      <w:pPr>
        <w:jc w:val="both"/>
        <w:ind w:left="440" w:right="260" w:firstLine="419"/>
        <w:spacing w:after="0" w:line="266" w:lineRule="auto"/>
        <w:tabs>
          <w:tab w:leader="none" w:pos="121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five (5) Business Days of the occurrence thereof), the Company’s submission to the FDA (or any foreign equivalent) of any application for any Regulatory Approval of an Included Product in the Covered Territory, and/or the acceptance for review by the FDA (or such foreign equivalent) of such application;</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60"/>
          </w:cols>
          <w:pgMar w:left="440" w:top="266" w:right="499" w:bottom="1440" w:gutter="0" w:footer="0" w:header="0"/>
        </w:sectPr>
      </w:pPr>
    </w:p>
    <w:bookmarkStart w:id="71" w:name="page72"/>
    <w:bookmarkEnd w:id="71"/>
    <w:p>
      <w:pPr>
        <w:ind w:left="444" w:right="100" w:firstLine="419"/>
        <w:spacing w:after="0" w:line="282" w:lineRule="auto"/>
        <w:tabs>
          <w:tab w:leader="none" w:pos="1272"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Promptly (and in any event within five (5) Business Days of the occurrence thereof), the FDA Approval Date or any Obligor’s receipt of any other Regulatory Approval of an Included Product in the Covered Territory;</w:t>
      </w:r>
    </w:p>
    <w:p>
      <w:pPr>
        <w:spacing w:after="0" w:line="53" w:lineRule="exact"/>
        <w:rPr>
          <w:rFonts w:ascii="Times New Roman" w:cs="Times New Roman" w:eastAsia="Times New Roman" w:hAnsi="Times New Roman"/>
          <w:sz w:val="18"/>
          <w:szCs w:val="18"/>
          <w:color w:val="auto"/>
        </w:rPr>
      </w:pPr>
    </w:p>
    <w:p>
      <w:pPr>
        <w:ind w:left="444" w:right="40" w:firstLine="419"/>
        <w:spacing w:after="0" w:line="312" w:lineRule="auto"/>
        <w:tabs>
          <w:tab w:leader="none" w:pos="1172"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(and in any event within five (5) Business Days) of the receipt, (a) prior to the Milestone, any material written communication from the FDA, and (b) from and after the occurrence of the Milestone, any material written communication from the FDA regarding Anktiva;</w:t>
      </w:r>
    </w:p>
    <w:p>
      <w:pPr>
        <w:spacing w:after="0" w:line="31" w:lineRule="exact"/>
        <w:rPr>
          <w:rFonts w:ascii="Times New Roman" w:cs="Times New Roman" w:eastAsia="Times New Roman" w:hAnsi="Times New Roman"/>
          <w:sz w:val="17"/>
          <w:szCs w:val="17"/>
          <w:color w:val="auto"/>
        </w:rPr>
      </w:pPr>
    </w:p>
    <w:p>
      <w:pPr>
        <w:ind w:left="444" w:firstLine="419"/>
        <w:spacing w:after="0" w:line="276" w:lineRule="auto"/>
        <w:tabs>
          <w:tab w:leader="none" w:pos="1122"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(and in any event within five (5) Business Days), (a) prior to the Milestone, receipt of material data with respect to any Clinical Trial, or any other material update with respect to any Clinical Trial, together with a copy of such data and any other relevant materials, and</w:t>
      </w:r>
    </w:p>
    <w:p>
      <w:pPr>
        <w:ind w:left="444" w:right="480" w:hanging="4"/>
        <w:spacing w:after="0" w:line="290" w:lineRule="auto"/>
        <w:tabs>
          <w:tab w:leader="none" w:pos="699"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and after the occurrence of the Milestone, receipt of material data with respect to any Clinical Trial regarding Anktiva, or any other material update with respect to any Clinical Trial regarding Anktiva, together with a copy of such data and any other relevant materials;</w:t>
      </w:r>
    </w:p>
    <w:p>
      <w:pPr>
        <w:spacing w:after="0" w:line="49" w:lineRule="exact"/>
        <w:rPr>
          <w:rFonts w:ascii="Times New Roman" w:cs="Times New Roman" w:eastAsia="Times New Roman" w:hAnsi="Times New Roman"/>
          <w:sz w:val="17"/>
          <w:szCs w:val="17"/>
          <w:color w:val="auto"/>
        </w:rPr>
      </w:pPr>
    </w:p>
    <w:p>
      <w:pPr>
        <w:ind w:left="444" w:right="60" w:firstLine="419"/>
        <w:spacing w:after="0" w:line="282" w:lineRule="auto"/>
        <w:tabs>
          <w:tab w:leader="none" w:pos="1172"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less than ten (10) calendar days prior thereto, any change in, or amendment or alteration of, any Obligor’s legal name, form of legal entity or jurisdiction of organization, or any change in the address for the chief executive office of any Obligor;</w:t>
      </w:r>
    </w:p>
    <w:p>
      <w:pPr>
        <w:spacing w:after="0" w:line="53" w:lineRule="exact"/>
        <w:rPr>
          <w:rFonts w:ascii="Times New Roman" w:cs="Times New Roman" w:eastAsia="Times New Roman" w:hAnsi="Times New Roman"/>
          <w:sz w:val="18"/>
          <w:szCs w:val="18"/>
          <w:color w:val="auto"/>
        </w:rPr>
      </w:pPr>
    </w:p>
    <w:p>
      <w:pPr>
        <w:ind w:left="444" w:firstLine="419"/>
        <w:spacing w:after="0" w:line="256" w:lineRule="auto"/>
        <w:tabs>
          <w:tab w:leader="none" w:pos="1222"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promptly following receipt by any Obligor or any Subsidiary of any written notice, claim or demand challenging the legality, validity, enforceability or ownership of any Intellectual Property of any Obligor or Subsidiary or pursuant to which any Third Party commences or threatens any action, suit or other proceeding against such Obligor or Subsidiary and relating to (a) prior to the Milestone, any Included Product, and (b) from and after the occurrence of the Milestone, Anktiva, the Obligors shall (i) inform the Purchasers in writing of such receipt and (ii) furnish the Purchasers with a copy of such notice, claim or demand, or if such notice is not in writing, furnish to the Purchasers a written summary describing in reasonable detail the contents thereof;</w:t>
      </w:r>
    </w:p>
    <w:p>
      <w:pPr>
        <w:spacing w:after="0" w:line="79" w:lineRule="exact"/>
        <w:rPr>
          <w:rFonts w:ascii="Times New Roman" w:cs="Times New Roman" w:eastAsia="Times New Roman" w:hAnsi="Times New Roman"/>
          <w:sz w:val="18"/>
          <w:szCs w:val="18"/>
          <w:color w:val="auto"/>
        </w:rPr>
      </w:pPr>
    </w:p>
    <w:p>
      <w:pPr>
        <w:ind w:left="444" w:right="60" w:firstLine="419"/>
        <w:spacing w:after="0" w:line="282" w:lineRule="auto"/>
        <w:tabs>
          <w:tab w:leader="none" w:pos="1272"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five (5) Business Days), any material change in accounting policies or financial reporting practices by the Company or any Subsidiary;</w:t>
      </w:r>
    </w:p>
    <w:p>
      <w:pPr>
        <w:spacing w:after="0" w:line="53" w:lineRule="exact"/>
        <w:rPr>
          <w:rFonts w:ascii="Times New Roman" w:cs="Times New Roman" w:eastAsia="Times New Roman" w:hAnsi="Times New Roman"/>
          <w:sz w:val="18"/>
          <w:szCs w:val="18"/>
          <w:color w:val="auto"/>
        </w:rPr>
      </w:pPr>
    </w:p>
    <w:p>
      <w:pPr>
        <w:jc w:val="both"/>
        <w:ind w:left="444" w:right="120" w:firstLine="419"/>
        <w:spacing w:after="0" w:line="266" w:lineRule="auto"/>
        <w:tabs>
          <w:tab w:leader="none" w:pos="1262"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possible, and in any event within ten (10) Business Days after the occurrence of any ERISA Event that, either individually or together with any other ERISA Events, could reasonably be expected to result in liability of the Company and its Subsidiaries in an aggregate amount exceeding $2,500,000; and</w:t>
      </w:r>
    </w:p>
    <w:p>
      <w:pPr>
        <w:spacing w:after="0" w:line="67" w:lineRule="exact"/>
        <w:rPr>
          <w:rFonts w:ascii="Times New Roman" w:cs="Times New Roman" w:eastAsia="Times New Roman" w:hAnsi="Times New Roman"/>
          <w:sz w:val="18"/>
          <w:szCs w:val="18"/>
          <w:color w:val="auto"/>
        </w:rPr>
      </w:pPr>
    </w:p>
    <w:p>
      <w:pPr>
        <w:ind w:left="1204" w:hanging="341"/>
        <w:spacing w:after="0"/>
        <w:tabs>
          <w:tab w:leader="none" w:pos="1204"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less than fifteen (15) Business Days prior thereto, any Change of Control.</w:t>
      </w:r>
    </w:p>
    <w:p>
      <w:pPr>
        <w:spacing w:after="0" w:line="225" w:lineRule="exact"/>
        <w:rPr>
          <w:sz w:val="20"/>
          <w:szCs w:val="20"/>
          <w:color w:val="auto"/>
        </w:rPr>
      </w:pPr>
    </w:p>
    <w:p>
      <w:pPr>
        <w:ind w:left="4" w:right="300"/>
        <w:spacing w:after="0" w:line="272" w:lineRule="auto"/>
        <w:rPr>
          <w:sz w:val="20"/>
          <w:szCs w:val="20"/>
          <w:color w:val="auto"/>
        </w:rPr>
      </w:pPr>
      <w:r>
        <w:rPr>
          <w:rFonts w:ascii="Times New Roman" w:cs="Times New Roman" w:eastAsia="Times New Roman" w:hAnsi="Times New Roman"/>
          <w:sz w:val="17"/>
          <w:szCs w:val="17"/>
          <w:color w:val="auto"/>
        </w:rPr>
        <w:t xml:space="preserve">Any documents required to be delivered pursuant to this </w:t>
      </w:r>
      <w:r>
        <w:rPr>
          <w:rFonts w:ascii="Times New Roman" w:cs="Times New Roman" w:eastAsia="Times New Roman" w:hAnsi="Times New Roman"/>
          <w:sz w:val="17"/>
          <w:szCs w:val="17"/>
          <w:u w:val="single" w:color="auto"/>
          <w:color w:val="auto"/>
        </w:rPr>
        <w:t>Section 5.01(a)</w:t>
      </w:r>
      <w:r>
        <w:rPr>
          <w:rFonts w:ascii="Times New Roman" w:cs="Times New Roman" w:eastAsia="Times New Roman" w:hAnsi="Times New Roman"/>
          <w:sz w:val="17"/>
          <w:szCs w:val="17"/>
          <w:color w:val="auto"/>
        </w:rPr>
        <w:t xml:space="preserve"> may be delivered electronically and if so delivered, shall be deemed to have been delivered on the date on which the Obligors have (A) posted such documents on an electronic data room to which Purchaser Agent and the Purchasers have sole access and the contents of which Purchaser Agent and the Purchasers have unrestricted ability to view, download and print and</w:t>
      </w:r>
    </w:p>
    <w:p>
      <w:pPr>
        <w:spacing w:after="0" w:line="2" w:lineRule="exact"/>
        <w:rPr>
          <w:sz w:val="20"/>
          <w:szCs w:val="20"/>
          <w:color w:val="auto"/>
        </w:rPr>
      </w:pPr>
    </w:p>
    <w:p>
      <w:pPr>
        <w:ind w:left="4" w:right="140" w:hanging="4"/>
        <w:spacing w:after="0" w:line="260" w:lineRule="auto"/>
        <w:tabs>
          <w:tab w:leader="none" w:pos="28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notified Purchaser Agent and the Purchasers in writing of the availability of each such document, including a detailed description of the location of such document in the data room and which specific provision(s) and/or requirement(s) of this Agreement such document relates.</w:t>
      </w:r>
    </w:p>
    <w:p>
      <w:pPr>
        <w:spacing w:after="0" w:line="73" w:lineRule="exact"/>
        <w:rPr>
          <w:rFonts w:ascii="Times New Roman" w:cs="Times New Roman" w:eastAsia="Times New Roman" w:hAnsi="Times New Roman"/>
          <w:sz w:val="18"/>
          <w:szCs w:val="18"/>
          <w:color w:val="auto"/>
        </w:rPr>
      </w:pPr>
    </w:p>
    <w:p>
      <w:pPr>
        <w:ind w:left="4" w:right="40" w:firstLine="436"/>
        <w:spacing w:after="0" w:line="258" w:lineRule="auto"/>
        <w:tabs>
          <w:tab w:leader="none" w:pos="699"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Books and Records</w:t>
      </w:r>
      <w:r>
        <w:rPr>
          <w:rFonts w:ascii="Times New Roman" w:cs="Times New Roman" w:eastAsia="Times New Roman" w:hAnsi="Times New Roman"/>
          <w:sz w:val="18"/>
          <w:szCs w:val="18"/>
          <w:color w:val="auto"/>
        </w:rPr>
        <w:t>. Each of the Obligors shall keep and maintain, cause its Subsidiaries to keep and maintain, and use commercially reasonable efforts to cause its Affiliates and Licensees to keep and maintain, at all times, full and accurate books of account and records adequate to correctly reflect (and in sufficient detail to permit the Purchaser Agent to confirm the accuracy of) all payments paid and/or payable with respect to the Revenue Interests. Such records shall be kept and maintained for a minimum of seven (7) years from the end of the calendar year to which they pertain.</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4"/>
          </w:cols>
          <w:pgMar w:left="436" w:top="270" w:right="459" w:bottom="1440" w:gutter="0" w:footer="0" w:header="0"/>
        </w:sectPr>
      </w:pPr>
    </w:p>
    <w:bookmarkStart w:id="72" w:name="page73"/>
    <w:bookmarkEnd w:id="72"/>
    <w:p>
      <w:pPr>
        <w:ind w:right="20" w:firstLine="436"/>
        <w:spacing w:after="0" w:line="253" w:lineRule="auto"/>
        <w:tabs>
          <w:tab w:leader="none" w:pos="68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Inspections and Audits</w:t>
      </w:r>
      <w:r>
        <w:rPr>
          <w:rFonts w:ascii="Times New Roman" w:cs="Times New Roman" w:eastAsia="Times New Roman" w:hAnsi="Times New Roman"/>
          <w:sz w:val="18"/>
          <w:szCs w:val="18"/>
          <w:color w:val="auto"/>
        </w:rPr>
        <w:t>. The Obligors shall, and shall cause their Subsidiaries to, at the sole cost of the Obligors, allow Purchaser Agent, during regular business hours upon reasonable prior written notice, to visit and inspect any of the Obligors’ and their Subsidiaries’ offices and properties where the Obligors and their Subsidiaries keep and maintain their books and records relating or pertaining to the Revenue Interests and the Collateral for purposes of conducting an audit of such books and records, to examine and make abstracts or copies from any such books and records, to conduct a collateral audit and analysis of its operations and the Collateral and to conduct an audit of Net Sales. Such audits shall be conducted no more often than once every year unless (and more frequently if) a Put Option Event has occurred and is continuing. The Obligors shall include in all Out-Licenses it enters into after the Closing Date provisions permitting them to audit such Licensee and shall use commercially reasonable efforts to include terms and conditions consistent in all material respects with the Purchasers’ rights to audit Company set forth in this Section 5.01(c), and each Obligor will exercise all applicable rights under such provisions, and share with Purchaser Agent the results of such inspections and audits, promptly upon written request from Purchaser Agent to do so.</w:t>
      </w:r>
    </w:p>
    <w:p>
      <w:pPr>
        <w:spacing w:after="0" w:line="86" w:lineRule="exact"/>
        <w:rPr>
          <w:rFonts w:ascii="Times New Roman" w:cs="Times New Roman" w:eastAsia="Times New Roman" w:hAnsi="Times New Roman"/>
          <w:sz w:val="18"/>
          <w:szCs w:val="18"/>
          <w:color w:val="auto"/>
        </w:rPr>
      </w:pPr>
    </w:p>
    <w:p>
      <w:pPr>
        <w:ind w:right="20" w:firstLine="436"/>
        <w:spacing w:after="0" w:line="255" w:lineRule="auto"/>
        <w:tabs>
          <w:tab w:leader="none" w:pos="69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Meetings</w:t>
      </w:r>
      <w:r>
        <w:rPr>
          <w:rFonts w:ascii="Times New Roman" w:cs="Times New Roman" w:eastAsia="Times New Roman" w:hAnsi="Times New Roman"/>
          <w:sz w:val="18"/>
          <w:szCs w:val="18"/>
          <w:color w:val="auto"/>
        </w:rPr>
        <w:t xml:space="preserve">. During the Revenue Interest Period, the Purchasers shall be entitled to a quarterly update call or meeting (in person, via teleconference or videoconference or at a location designated by the Purchaser Agent) to discuss the reports delivered by the Obligors pursuant to </w:t>
      </w:r>
      <w:r>
        <w:rPr>
          <w:rFonts w:ascii="Times New Roman" w:cs="Times New Roman" w:eastAsia="Times New Roman" w:hAnsi="Times New Roman"/>
          <w:sz w:val="18"/>
          <w:szCs w:val="18"/>
          <w:u w:val="single" w:color="auto"/>
          <w:color w:val="auto"/>
        </w:rPr>
        <w:t>Section 5.02(a)</w:t>
      </w:r>
      <w:r>
        <w:rPr>
          <w:rFonts w:ascii="Times New Roman" w:cs="Times New Roman" w:eastAsia="Times New Roman" w:hAnsi="Times New Roman"/>
          <w:sz w:val="18"/>
          <w:szCs w:val="18"/>
          <w:color w:val="auto"/>
        </w:rPr>
        <w:t xml:space="preserve"> and the progress of sales and product development and marketing efforts made by the Obligors, the status and the historical and potential performance of the Included Products, any regulatory developments or such other matters that the Purchasers deem appropriate. Notwithstanding the foregoing, after the occurrence and during the continuance of a Put Option Event, the Required Purchasers shall have the right, as often, at such times and with such prior notice, as the Required Purchasers shall determine, in their reasonable discretion, to have such update meetings or inspect any records and operations of the Obligors and their Subsidiaries.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5.02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680" w:hanging="244"/>
        <w:spacing w:after="0"/>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Periodic Reports</w:t>
      </w:r>
      <w:r>
        <w:rPr>
          <w:rFonts w:ascii="Times New Roman" w:cs="Times New Roman" w:eastAsia="Times New Roman" w:hAnsi="Times New Roman"/>
          <w:sz w:val="18"/>
          <w:szCs w:val="18"/>
          <w:color w:val="auto"/>
        </w:rPr>
        <w:t>. The Obligors shall deliver to the Purchaser Agent the following financial statements, reports and certificates:</w:t>
      </w:r>
    </w:p>
    <w:p>
      <w:pPr>
        <w:spacing w:after="0" w:line="117" w:lineRule="exact"/>
        <w:rPr>
          <w:rFonts w:ascii="Times New Roman" w:cs="Times New Roman" w:eastAsia="Times New Roman" w:hAnsi="Times New Roman"/>
          <w:sz w:val="18"/>
          <w:szCs w:val="18"/>
          <w:color w:val="auto"/>
        </w:rPr>
      </w:pPr>
    </w:p>
    <w:p>
      <w:pPr>
        <w:ind w:left="440" w:firstLine="419"/>
        <w:spacing w:after="0" w:line="253" w:lineRule="auto"/>
        <w:tabs>
          <w:tab w:leader="none" w:pos="107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no later than forty-five (45) days after the last day of the first three calendar quarters of each fiscal year, (A) a company prepared unaudited balance sheet of the Company and its Subsidiaries as of such quarter end and the related consolidated statements of operations, comprehensive loss, redeemable convertible preferred stock (if applicable), redeemable common stock (if applicable) and stockholders’ equity (deficit) and cash flows for the three (3) month period then ended certified by the chief financial officer of the Company, all prepared in accordance with GAAP, subject to normal year-end audit adjustments and the absence of disclosures normally made in footnotes, (B) a statement, on a country-by-country and Included Product-by-Included Product basis, of the amount of gross sales and Net Sales of Included Products during the applicable fiscal quarter (including details of the deductions from gross sales taken in accordance with the definition of Net Sales), the calculation of the Applicable Percentage, the calculation of the amount of Revenue Interest Payment due on such sales for such fiscal quarter, and the exchange rates used, if applicable and (C) a duly completed Compliance Certificate signed by the chief financial officer of the Company;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20"/>
          </w:cols>
          <w:pgMar w:left="440" w:top="270" w:right="439" w:bottom="1440" w:gutter="0" w:footer="0" w:header="0"/>
        </w:sectPr>
      </w:pPr>
    </w:p>
    <w:bookmarkStart w:id="73" w:name="page74"/>
    <w:bookmarkEnd w:id="73"/>
    <w:p>
      <w:pPr>
        <w:ind w:left="4" w:firstLine="419"/>
        <w:spacing w:after="0" w:line="253" w:lineRule="auto"/>
        <w:tabs>
          <w:tab w:leader="none" w:pos="691"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soon as available, but no later than ninety (90) days after the last day of each calendar year, audited consolidated balance sheets of the Company as of such year end and the related consolidated statements of operations, comprehensive loss, redeemable convertible preferred stock (if applicable), redeemable common stock (if applicable) and stockholders’ equity (deficit) and cash flows for the year then ended, prepared under GAAP, consistently applied, together with a report and opinion on the financial statements and on internal controls and procedures, if available, from any “Big 4” accounting firm or any other independent certified public accounting firm acceptable to the Purchaser Agent in its reasonable discretion (which report and opinion shall be prepared in accordance with GAAP and shall not be subject to any qualification, emphasis of matter or statement as to “going concern” or scope of audit, except for qualifications or statements relating to (i) such qualification, emphasis of matter or statement related to the impending maturity of the Obligations and/or (ii) changes in accounting principles or practices reflecting changes in GAAP and required or approved by the Company’s independent certified public accountants), together with a duly completed Compliance Certificate signed by the chief financial officer of the Company;</w:t>
      </w:r>
    </w:p>
    <w:p>
      <w:pPr>
        <w:spacing w:after="0" w:line="86" w:lineRule="exact"/>
        <w:rPr>
          <w:rFonts w:ascii="Times New Roman" w:cs="Times New Roman" w:eastAsia="Times New Roman" w:hAnsi="Times New Roman"/>
          <w:sz w:val="18"/>
          <w:szCs w:val="18"/>
          <w:color w:val="auto"/>
        </w:rPr>
      </w:pPr>
    </w:p>
    <w:p>
      <w:pPr>
        <w:ind w:left="4" w:right="60" w:firstLine="419"/>
        <w:spacing w:after="0" w:line="254" w:lineRule="auto"/>
        <w:tabs>
          <w:tab w:leader="none" w:pos="741"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the end of each calendar quarter, but in any event, in each case, no later than forty-five (45) calendar days after the end of such calendar quarter, as applicable, a reasonably detailed quarterly report (the “</w:t>
      </w:r>
      <w:r>
        <w:rPr>
          <w:rFonts w:ascii="Times New Roman" w:cs="Times New Roman" w:eastAsia="Times New Roman" w:hAnsi="Times New Roman"/>
          <w:sz w:val="18"/>
          <w:szCs w:val="18"/>
          <w:u w:val="single" w:color="auto"/>
          <w:color w:val="auto"/>
        </w:rPr>
        <w:t>Quarterly Report</w:t>
      </w:r>
      <w:r>
        <w:rPr>
          <w:rFonts w:ascii="Times New Roman" w:cs="Times New Roman" w:eastAsia="Times New Roman" w:hAnsi="Times New Roman"/>
          <w:sz w:val="18"/>
          <w:szCs w:val="18"/>
          <w:color w:val="auto"/>
        </w:rPr>
        <w:t>”) setting forth, with respect to such same period, (a) the Clinical Updates, the Regulatory Updates, the Commercial Updates, the Intellectual Property Updates, and any transactions with Affiliates, (b) updates to the Perfection Certificate to reflect any amendments, modifications and updates, if any, to the information in the Perfection Certificate since the Closing Date or the most recent update thereto (to the extent not covered in the Intellectual Property Update),</w:t>
      </w:r>
    </w:p>
    <w:p>
      <w:pPr>
        <w:spacing w:after="0" w:line="3" w:lineRule="exact"/>
        <w:rPr>
          <w:rFonts w:ascii="Times New Roman" w:cs="Times New Roman" w:eastAsia="Times New Roman" w:hAnsi="Times New Roman"/>
          <w:sz w:val="18"/>
          <w:szCs w:val="18"/>
          <w:color w:val="auto"/>
        </w:rPr>
      </w:pPr>
    </w:p>
    <w:p>
      <w:pPr>
        <w:ind w:left="4" w:hanging="4"/>
        <w:spacing w:after="0" w:line="251" w:lineRule="auto"/>
        <w:tabs>
          <w:tab w:leader="none" w:pos="24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projections for the four quarter period following such fiscal quarter set forth in a quarter by quarter format, and (d) a financial “DashBoard” report which shall include unrestricted cash and Cash Equivalents, marketable securities, revenue for the reporting quarter, and year-to-date revenue (provided that the Obligors shall also provide Purchaser Agent with such additional information regarding the updates included in each such Quarterly Report as Purchaser Agent may reasonably request from time to time). The Obligors shall prepare and maintain and shall use commercially reasonable efforts to cause their respective Licensees to prepare and maintain reasonably complete and accurate records of the information to be disclosed in each Quarterly Report. In addition, the Obligors shall provide the Purchaser Agent with a written or telephonic update within ten (10) Business Days following (1) any material development with respect to any prior (i) Clinical Update, (ii) the Regulatory Update, (iii) Commercial Update or (iv) Intellectual Property Update and (2) any serious adverse event in the Clinical Trials;</w:t>
      </w:r>
    </w:p>
    <w:p>
      <w:pPr>
        <w:spacing w:after="0" w:line="85" w:lineRule="exact"/>
        <w:rPr>
          <w:rFonts w:ascii="Times New Roman" w:cs="Times New Roman" w:eastAsia="Times New Roman" w:hAnsi="Times New Roman"/>
          <w:sz w:val="18"/>
          <w:szCs w:val="18"/>
          <w:color w:val="auto"/>
        </w:rPr>
      </w:pPr>
    </w:p>
    <w:p>
      <w:pPr>
        <w:ind w:left="4" w:right="120" w:firstLine="419"/>
        <w:spacing w:after="0" w:line="261" w:lineRule="auto"/>
        <w:tabs>
          <w:tab w:leader="none" w:pos="731"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and in any event not later than forty-five (45) days after the commencement of each fiscal year of the Company, beginning with the fiscal year commencing January 1, 2024, an annual business plan and budget of the Company and its Subsidiaries on a consolidated basis for the then current fiscal year containing, among other things, projections for each quarter of such fiscal year, all approved by the Board of the Company;</w:t>
      </w:r>
    </w:p>
    <w:p>
      <w:pPr>
        <w:spacing w:after="0" w:line="71" w:lineRule="exact"/>
        <w:rPr>
          <w:rFonts w:ascii="Times New Roman" w:cs="Times New Roman" w:eastAsia="Times New Roman" w:hAnsi="Times New Roman"/>
          <w:sz w:val="18"/>
          <w:szCs w:val="18"/>
          <w:color w:val="auto"/>
        </w:rPr>
      </w:pPr>
    </w:p>
    <w:p>
      <w:pPr>
        <w:ind w:left="4" w:right="40" w:firstLine="419"/>
        <w:spacing w:after="0" w:line="254" w:lineRule="auto"/>
        <w:tabs>
          <w:tab w:leader="none" w:pos="681"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later than five (5) days after each regularly-scheduled quarterly meeting of the Board of the Company or any Subsidiary, the board kit and other materials delivered to the directors in connection with any such meeting;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(1) such materials may be redacted to information relating to the potential refinancing of the obligations under this Agreement or repurchase of the Revenue Interests, and (2) if the Obligors, upon the advice of counsel, reasonably determine that any such information constitutes attorney-client privileged information and the disclosure thereof would adversely impair the attorney-client privilege between the Obligors and such counsel with respect to such information, then the Obligors will permit the Purchaser Agent and the Purchasers to enter into a customary common interest agreement with respect to such information and, unless and until the Purchaser Agent and the Purchasers have entered into such agreement, the Obligors shall be entitled to withhold delivery of, or redact, any such information (and only such information) from the Purchaser Agent and the Purchasers;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Obligors shall disclose that the information is being withheld on the foregoing basis;</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564"/>
          </w:cols>
          <w:pgMar w:left="876" w:top="270" w:right="459" w:bottom="1440" w:gutter="0" w:footer="0" w:header="0"/>
        </w:sectPr>
      </w:pPr>
    </w:p>
    <w:bookmarkStart w:id="74" w:name="page75"/>
    <w:bookmarkEnd w:id="74"/>
    <w:p>
      <w:pPr>
        <w:ind w:left="440" w:firstLine="419"/>
        <w:spacing w:after="0" w:line="266" w:lineRule="auto"/>
        <w:tabs>
          <w:tab w:leader="none" w:pos="1168"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without limiting the generality of the above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promptly after any reasonable request by the Purchaser, copies of any detailed audit reports, management letters or recommendations submitted to the Board (or the audit committee of the Board) by independent accountants in connection with the accounts or books of the Company or any Subsidiary, or any audit of any of them;</w:t>
      </w:r>
    </w:p>
    <w:p>
      <w:pPr>
        <w:spacing w:after="0" w:line="67" w:lineRule="exact"/>
        <w:rPr>
          <w:rFonts w:ascii="Times New Roman" w:cs="Times New Roman" w:eastAsia="Times New Roman" w:hAnsi="Times New Roman"/>
          <w:sz w:val="18"/>
          <w:szCs w:val="18"/>
          <w:color w:val="auto"/>
        </w:rPr>
      </w:pPr>
    </w:p>
    <w:p>
      <w:pPr>
        <w:ind w:left="440" w:right="600" w:firstLine="419"/>
        <w:spacing w:after="0" w:line="282" w:lineRule="auto"/>
        <w:tabs>
          <w:tab w:leader="none" w:pos="1218"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furnishing thereof, copies of any material statement or report furnished to any holder of debt securities of the Company or any Subsidiary pursuant to the terms of any indenture, loan or credit or similar agreement;</w:t>
      </w:r>
    </w:p>
    <w:p>
      <w:pPr>
        <w:spacing w:after="0" w:line="53" w:lineRule="exact"/>
        <w:rPr>
          <w:rFonts w:ascii="Times New Roman" w:cs="Times New Roman" w:eastAsia="Times New Roman" w:hAnsi="Times New Roman"/>
          <w:sz w:val="18"/>
          <w:szCs w:val="18"/>
          <w:color w:val="auto"/>
        </w:rPr>
      </w:pPr>
    </w:p>
    <w:p>
      <w:pPr>
        <w:jc w:val="both"/>
        <w:ind w:left="440" w:right="300" w:firstLine="419"/>
        <w:spacing w:after="0" w:line="261" w:lineRule="auto"/>
        <w:tabs>
          <w:tab w:leader="none" w:pos="1268"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five (5) Business Days after receipt thereof by the Company or any Subsidiary thereof, copies of each written notice or other correspondence received from the SEC (or comparable agency in any applicable non-U.S. jurisdiction) concerning any investigation or possible investigation or other material inquiry by such agency regarding financial or other operational results of the Company or any Subsidiary;</w:t>
      </w:r>
    </w:p>
    <w:p>
      <w:pPr>
        <w:spacing w:after="0" w:line="71" w:lineRule="exact"/>
        <w:rPr>
          <w:rFonts w:ascii="Times New Roman" w:cs="Times New Roman" w:eastAsia="Times New Roman" w:hAnsi="Times New Roman"/>
          <w:sz w:val="18"/>
          <w:szCs w:val="18"/>
          <w:color w:val="auto"/>
        </w:rPr>
      </w:pPr>
    </w:p>
    <w:p>
      <w:pPr>
        <w:ind w:left="440" w:right="400" w:firstLine="419"/>
        <w:spacing w:after="0" w:line="282" w:lineRule="auto"/>
        <w:tabs>
          <w:tab w:leader="none" w:pos="1168"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upon the reasonable request of the Purchasers, copies of the most recent monthly statements for each deposit account, securities account and other bank account of the Company and its Subsidiaries; and</w:t>
      </w:r>
    </w:p>
    <w:p>
      <w:pPr>
        <w:spacing w:after="0" w:line="53" w:lineRule="exact"/>
        <w:rPr>
          <w:rFonts w:ascii="Times New Roman" w:cs="Times New Roman" w:eastAsia="Times New Roman" w:hAnsi="Times New Roman"/>
          <w:sz w:val="18"/>
          <w:szCs w:val="18"/>
          <w:color w:val="auto"/>
        </w:rPr>
      </w:pPr>
    </w:p>
    <w:p>
      <w:pPr>
        <w:ind w:left="440" w:right="80" w:firstLine="419"/>
        <w:spacing w:after="0" w:line="253" w:lineRule="auto"/>
        <w:tabs>
          <w:tab w:leader="none" w:pos="1118"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request, such other information as Purchaser Agent may from time to time reasonably request; provided that, if the Obligors, upon the advice of counsel, reasonably determine that any such information constitutes attorney-client privileged information and the disclosure thereof would adversely impair the attorney-client privilege between the Obligors and such counsel with respect to such information, then the Obligors will permit the Purchaser Agent and the Purchasers to enter into a customary common interest agreement with respect to such information and, unless and until the Purchaser Agent and the Purchasers have entered into such agreement, the Obligors shall be entitled to withhold delivery of, or redact, any such information (and only such information) from the Purchaser Agent and the Purchasers; provided that the Obligors shall disclose that the information is being withheld on the foregoing basis.</w:t>
      </w:r>
    </w:p>
    <w:p>
      <w:pPr>
        <w:spacing w:after="0" w:line="2" w:lineRule="exact"/>
        <w:rPr>
          <w:rFonts w:ascii="Times New Roman" w:cs="Times New Roman" w:eastAsia="Times New Roman" w:hAnsi="Times New Roman"/>
          <w:sz w:val="18"/>
          <w:szCs w:val="18"/>
          <w:color w:val="auto"/>
        </w:rPr>
      </w:pPr>
    </w:p>
    <w:p>
      <w:pPr>
        <w:ind w:left="440" w:right="2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documents required to be delivered pursuant to this </w:t>
      </w:r>
      <w:r>
        <w:rPr>
          <w:rFonts w:ascii="Times New Roman" w:cs="Times New Roman" w:eastAsia="Times New Roman" w:hAnsi="Times New Roman"/>
          <w:sz w:val="18"/>
          <w:szCs w:val="18"/>
          <w:u w:val="single" w:color="auto"/>
          <w:color w:val="auto"/>
        </w:rPr>
        <w:t>Section 5.02(a)</w:t>
      </w:r>
      <w:r>
        <w:rPr>
          <w:rFonts w:ascii="Times New Roman" w:cs="Times New Roman" w:eastAsia="Times New Roman" w:hAnsi="Times New Roman"/>
          <w:sz w:val="18"/>
          <w:szCs w:val="18"/>
          <w:color w:val="auto"/>
        </w:rPr>
        <w:t xml:space="preserve"> may be delivered electronically and if so delivered, shall be deemed to have been delivered on the date on which (A) the Obligors posts such documents, or provides a link thereto, on their website on the internet at their website address or (B) such documents are posted on the Obligors’ behalf on the internet or an intranet website, if any, to which Purchaser Agent and the Purchasers have access.</w:t>
      </w:r>
    </w:p>
    <w:p>
      <w:pPr>
        <w:spacing w:after="0" w:line="80" w:lineRule="exact"/>
        <w:rPr>
          <w:rFonts w:ascii="Times New Roman" w:cs="Times New Roman" w:eastAsia="Times New Roman" w:hAnsi="Times New Roman"/>
          <w:sz w:val="18"/>
          <w:szCs w:val="18"/>
          <w:color w:val="auto"/>
        </w:rPr>
      </w:pPr>
    </w:p>
    <w:p>
      <w:pPr>
        <w:ind w:right="400" w:firstLine="436"/>
        <w:spacing w:after="0" w:line="282" w:lineRule="auto"/>
        <w:tabs>
          <w:tab w:leader="none" w:pos="69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Reconciliation Reports; Updates</w:t>
      </w:r>
      <w:r>
        <w:rPr>
          <w:rFonts w:ascii="Times New Roman" w:cs="Times New Roman" w:eastAsia="Times New Roman" w:hAnsi="Times New Roman"/>
          <w:sz w:val="18"/>
          <w:szCs w:val="18"/>
          <w:color w:val="auto"/>
        </w:rPr>
        <w:t xml:space="preserve">. Concurrently with the delivery of financial statements pursuant to </w:t>
      </w:r>
      <w:r>
        <w:rPr>
          <w:rFonts w:ascii="Times New Roman" w:cs="Times New Roman" w:eastAsia="Times New Roman" w:hAnsi="Times New Roman"/>
          <w:sz w:val="18"/>
          <w:szCs w:val="18"/>
          <w:u w:val="single" w:color="auto"/>
          <w:color w:val="auto"/>
        </w:rPr>
        <w:t>Sections 5.02(a)(i)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the Obligors shall produce and deliver to the Purchaser Agent:</w:t>
      </w:r>
    </w:p>
    <w:p>
      <w:pPr>
        <w:spacing w:after="0" w:line="53" w:lineRule="exact"/>
        <w:rPr>
          <w:rFonts w:ascii="Times New Roman" w:cs="Times New Roman" w:eastAsia="Times New Roman" w:hAnsi="Times New Roman"/>
          <w:sz w:val="18"/>
          <w:szCs w:val="18"/>
          <w:color w:val="auto"/>
        </w:rPr>
      </w:pPr>
    </w:p>
    <w:p>
      <w:pPr>
        <w:ind w:left="440" w:right="220" w:firstLine="419"/>
        <w:spacing w:after="0" w:line="261" w:lineRule="auto"/>
        <w:tabs>
          <w:tab w:leader="none" w:pos="1078"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Reconciliation Report for such quarter or year, together with a certificate signed by the chief financial officer of the Company, certifying that to the Knowledge of the Obligors (i) such Reconciliation Report is a true and complete copy and (ii) any statements and any data and information therein prepared by the Obligors are true, correct and complete in all material respects. Upon request by Purchaser Agent, the Obligors and Purchaser Agent shall meet in person or by teleconference to discuss each Reconciliation Report;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70" w:right="459" w:bottom="1440" w:gutter="0" w:footer="0" w:header="0"/>
        </w:sectPr>
      </w:pPr>
    </w:p>
    <w:bookmarkStart w:id="75" w:name="page76"/>
    <w:bookmarkEnd w:id="75"/>
    <w:p>
      <w:pPr>
        <w:ind w:left="444" w:right="340" w:firstLine="419"/>
        <w:spacing w:after="0" w:line="282" w:lineRule="auto"/>
        <w:tabs>
          <w:tab w:leader="none" w:pos="113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insurance binder or other evidence of insurance for any insurance coverage of the Company or any Subsidiary that was renewed, replaced or modified during the period covered by such Quarterly Report; and</w:t>
      </w:r>
    </w:p>
    <w:p>
      <w:pPr>
        <w:spacing w:after="0" w:line="53" w:lineRule="exact"/>
        <w:rPr>
          <w:rFonts w:ascii="Times New Roman" w:cs="Times New Roman" w:eastAsia="Times New Roman" w:hAnsi="Times New Roman"/>
          <w:sz w:val="18"/>
          <w:szCs w:val="18"/>
          <w:color w:val="auto"/>
        </w:rPr>
      </w:pPr>
    </w:p>
    <w:p>
      <w:pPr>
        <w:ind w:left="444" w:right="20" w:firstLine="419"/>
        <w:spacing w:after="0" w:line="266" w:lineRule="auto"/>
        <w:tabs>
          <w:tab w:leader="none" w:pos="118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a reasonable time after the receipt by the Purchaser Agent or the Purchasers of any report or notice from the Obligors or upon the occurrence of any material event affecting the Obligors, the Obligors shall provide such other information about such report, notice or material event as any Purchaser or the Purchaser Agent may from time to time reasonably request.</w:t>
      </w:r>
    </w:p>
    <w:p>
      <w:pPr>
        <w:spacing w:after="0" w:line="68" w:lineRule="exact"/>
        <w:rPr>
          <w:sz w:val="20"/>
          <w:szCs w:val="20"/>
          <w:color w:val="auto"/>
        </w:rPr>
      </w:pPr>
    </w:p>
    <w:p>
      <w:pPr>
        <w:ind w:left="444" w:right="220"/>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anything set forth above to the contrary, during any MNPI Notice Period, the Obligors shall deliver all notices and reports required to be furnished pursuant to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5.02(b)</w:t>
      </w:r>
      <w:r>
        <w:rPr>
          <w:rFonts w:ascii="Times New Roman" w:cs="Times New Roman" w:eastAsia="Times New Roman" w:hAnsi="Times New Roman"/>
          <w:sz w:val="18"/>
          <w:szCs w:val="18"/>
          <w:color w:val="auto"/>
        </w:rPr>
        <w:t xml:space="preserve"> or otherwise pursuant to any Transaction Documents (any such notice, an “</w:t>
      </w:r>
      <w:r>
        <w:rPr>
          <w:rFonts w:ascii="Times New Roman" w:cs="Times New Roman" w:eastAsia="Times New Roman" w:hAnsi="Times New Roman"/>
          <w:sz w:val="18"/>
          <w:szCs w:val="18"/>
          <w:u w:val="single" w:color="auto"/>
          <w:color w:val="auto"/>
        </w:rPr>
        <w:t>MNPI Notice</w:t>
      </w:r>
      <w:r>
        <w:rPr>
          <w:rFonts w:ascii="Times New Roman" w:cs="Times New Roman" w:eastAsia="Times New Roman" w:hAnsi="Times New Roman"/>
          <w:sz w:val="18"/>
          <w:szCs w:val="18"/>
          <w:color w:val="auto"/>
        </w:rPr>
        <w:t xml:space="preserve">”) to Oberland Capital Management LLC (at kwiggert@oberlandcapital.com, attention: Kristian Wiggert (or such other person as specified by Purchaser Agent in writing from time to time)), in which case the Obligors’ obligations to deliver or pay any such MNPI Notice under any Transaction Document, whether under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5.02(b)</w:t>
      </w:r>
      <w:r>
        <w:rPr>
          <w:rFonts w:ascii="Times New Roman" w:cs="Times New Roman" w:eastAsia="Times New Roman" w:hAnsi="Times New Roman"/>
          <w:sz w:val="18"/>
          <w:szCs w:val="18"/>
          <w:color w:val="auto"/>
        </w:rPr>
        <w:t xml:space="preserve"> or otherwise shall be deemed satisfied as to the Purchaser Agent or Purchasers otherwise entitled to receive such MNPI Notice, as applicable.</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Section 5.03 </w:t>
      </w:r>
      <w:r>
        <w:rPr>
          <w:rFonts w:ascii="Times New Roman" w:cs="Times New Roman" w:eastAsia="Times New Roman" w:hAnsi="Times New Roman"/>
          <w:sz w:val="18"/>
          <w:szCs w:val="18"/>
          <w:u w:val="single" w:color="auto"/>
          <w:color w:val="auto"/>
        </w:rPr>
        <w:t>Compliance with Law; Existence and Maintenance of Properties; Payment of Obligations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right="80" w:firstLine="436"/>
        <w:spacing w:after="0" w:line="253" w:lineRule="auto"/>
        <w:tabs>
          <w:tab w:leader="none" w:pos="689"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Obligors shall, and shall cause their Subsidiaries to, (i) comply with all material federal, state, local and foreign laws, regulations and orders applicable to the Obligors or any Subsidiary or any of their respective assets, including all Environmental Laws, (ii) obtain and maintain any and all material licenses, permits, franchises, governmental authorizations, Intellectual Property or other rights necessary for the ownership of its properties and the advantageous conduct of its business and as may be required from time to time by Applicable Law and (iii) maintain each material Regulatory Approval necessary to sell the Included Products within the Covered Territory, except in the case of (i) or (ii) where the failure to do so, individually or in the aggregate, would not reasonably be expected to result in a Material Adverse Effect.</w:t>
      </w:r>
    </w:p>
    <w:p>
      <w:pPr>
        <w:spacing w:after="0" w:line="5" w:lineRule="exact"/>
        <w:rPr>
          <w:rFonts w:ascii="Times New Roman" w:cs="Times New Roman" w:eastAsia="Times New Roman" w:hAnsi="Times New Roman"/>
          <w:sz w:val="18"/>
          <w:szCs w:val="18"/>
          <w:color w:val="auto"/>
        </w:rPr>
      </w:pPr>
    </w:p>
    <w:p>
      <w:pPr>
        <w:ind w:left="4" w:firstLine="436"/>
        <w:spacing w:after="0" w:line="252" w:lineRule="auto"/>
        <w:tabs>
          <w:tab w:leader="none" w:pos="699"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Obligors shall, and shall cause their Subsidiaries to, (i) (x) maintain and preserve in full force and effect its legal existence, (y) maintain its good standing (to the extent the concept is applicable under such jurisdiction) under the laws of the jurisdiction of its incorporation or formation, as the case may be, and (z) maintain its qualification to do business in every other jurisdiction where the nature of its business or its properties makes such qualification necessary (except, in the case of clause (z), where the failure to be so qualified or licensed would not reasonably be expected to have a Material Adverse Effect); and (ii) maintain all material tangible properties in good working order and condition (normal wear and tear and damage by casualty excepted) and from time to time make all necessary repairs to and renewals and replacements of such properties, except to the extent that the failure to do so would not reasonably be expected to result in a Material Adverse Effect.</w:t>
      </w:r>
    </w:p>
    <w:p>
      <w:pPr>
        <w:spacing w:after="0" w:line="80" w:lineRule="exact"/>
        <w:rPr>
          <w:rFonts w:ascii="Times New Roman" w:cs="Times New Roman" w:eastAsia="Times New Roman" w:hAnsi="Times New Roman"/>
          <w:sz w:val="18"/>
          <w:szCs w:val="18"/>
          <w:color w:val="auto"/>
        </w:rPr>
      </w:pPr>
    </w:p>
    <w:p>
      <w:pPr>
        <w:ind w:left="4" w:right="60" w:firstLine="436"/>
        <w:spacing w:after="0" w:line="272" w:lineRule="auto"/>
        <w:tabs>
          <w:tab w:leader="none" w:pos="689"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Obligor and each Subsidiary shall pay and discharge all its obligations and liabilities, including (i) prior to the date on which penalties attach thereto, all federal and state and other material Taxes imposed upon it or its properties or assets, unless the same are being contested in good faith by appropriate proceedings diligently conducted and adequate reserves in accordance with GAAP are being maintained by such Obligor or Subsidiary,</w:t>
      </w:r>
    </w:p>
    <w:p>
      <w:pPr>
        <w:spacing w:after="0" w:line="1" w:lineRule="exact"/>
        <w:rPr>
          <w:rFonts w:ascii="Times New Roman" w:cs="Times New Roman" w:eastAsia="Times New Roman" w:hAnsi="Times New Roman"/>
          <w:sz w:val="17"/>
          <w:szCs w:val="17"/>
          <w:color w:val="auto"/>
        </w:rPr>
      </w:pPr>
    </w:p>
    <w:p>
      <w:pPr>
        <w:ind w:left="4" w:right="180" w:hanging="4"/>
        <w:spacing w:after="0" w:line="255" w:lineRule="auto"/>
        <w:tabs>
          <w:tab w:leader="none" w:pos="26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same shall become due and payable, all lawful claims which, if unpaid, would by law become a Lien upon its property (other than Permitted Liens), and (iii) prior to the date on which such Indebtedness shall become delinquent or in default, all Indebtedness, but subject to any subordination provisions contained in any instrument or agreement evidencing such Indebtedness.</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4"/>
          </w:cols>
          <w:pgMar w:left="436" w:top="270"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5.04 </w:t>
      </w:r>
      <w:r>
        <w:rPr>
          <w:rFonts w:ascii="Times New Roman" w:cs="Times New Roman" w:eastAsia="Times New Roman" w:hAnsi="Times New Roman"/>
          <w:sz w:val="18"/>
          <w:szCs w:val="18"/>
          <w:u w:val="single" w:color="auto"/>
          <w:color w:val="auto"/>
        </w:rPr>
        <w:t>Confidentiality; Public Announcement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firstLine="436"/>
        <w:spacing w:after="0" w:line="254" w:lineRule="auto"/>
        <w:tabs>
          <w:tab w:leader="none" w:pos="68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Non-Disclosure and Non-Use</w:t>
      </w:r>
      <w:r>
        <w:rPr>
          <w:rFonts w:ascii="Times New Roman" w:cs="Times New Roman" w:eastAsia="Times New Roman" w:hAnsi="Times New Roman"/>
          <w:sz w:val="18"/>
          <w:szCs w:val="18"/>
          <w:color w:val="auto"/>
        </w:rPr>
        <w:t>. (x) In handling any Confidential Information of the Obligors and their Subsidiaries, the Purchaser Agent and the Purchasers and (y) in handling any confidential information of the Purchaser Agent and the Purchasers, the Obligors and their Subsidiaries (in either case, as applicable, the party receiving Confidential Information, the “</w:t>
      </w:r>
      <w:r>
        <w:rPr>
          <w:rFonts w:ascii="Times New Roman" w:cs="Times New Roman" w:eastAsia="Times New Roman" w:hAnsi="Times New Roman"/>
          <w:sz w:val="18"/>
          <w:szCs w:val="18"/>
          <w:u w:val="single" w:color="auto"/>
          <w:color w:val="auto"/>
        </w:rPr>
        <w:t>Receiving Party</w:t>
      </w:r>
      <w:r>
        <w:rPr>
          <w:rFonts w:ascii="Times New Roman" w:cs="Times New Roman" w:eastAsia="Times New Roman" w:hAnsi="Times New Roman"/>
          <w:sz w:val="18"/>
          <w:szCs w:val="18"/>
          <w:color w:val="auto"/>
        </w:rPr>
        <w:t>” and, the party disclosing such Confidential Information, the “</w:t>
      </w:r>
      <w:r>
        <w:rPr>
          <w:rFonts w:ascii="Times New Roman" w:cs="Times New Roman" w:eastAsia="Times New Roman" w:hAnsi="Times New Roman"/>
          <w:sz w:val="18"/>
          <w:szCs w:val="18"/>
          <w:u w:val="single" w:color="auto"/>
          <w:color w:val="auto"/>
        </w:rPr>
        <w:t>Disclosing Party</w:t>
      </w:r>
      <w:r>
        <w:rPr>
          <w:rFonts w:ascii="Times New Roman" w:cs="Times New Roman" w:eastAsia="Times New Roman" w:hAnsi="Times New Roman"/>
          <w:sz w:val="18"/>
          <w:szCs w:val="18"/>
          <w:color w:val="auto"/>
        </w:rPr>
        <w:t>”) shall, in each case, exercise the same degree of care that they exercise for their own proprietary information (but in no event less than a reasonable standard of care). The Receiving Party agrees to: (a) hold any Confidential Information received in confidence; (b) use or permit the use of the Confidential Information solely in connection with preparing, amending, executing, negotiating, administering, defending and enforcing the Transaction Documents (the “Permitted Purpose”); and (c) except as otherwise permitted herein, not disclose the Confidential Information to any person or entity not a party to this Agreement.</w:t>
      </w:r>
    </w:p>
    <w:p>
      <w:pPr>
        <w:spacing w:after="0" w:line="83" w:lineRule="exact"/>
        <w:rPr>
          <w:rFonts w:ascii="Times New Roman" w:cs="Times New Roman" w:eastAsia="Times New Roman" w:hAnsi="Times New Roman"/>
          <w:sz w:val="18"/>
          <w:szCs w:val="18"/>
          <w:color w:val="auto"/>
        </w:rPr>
      </w:pPr>
    </w:p>
    <w:p>
      <w:pPr>
        <w:ind w:firstLine="436"/>
        <w:spacing w:after="0" w:line="251" w:lineRule="auto"/>
        <w:tabs>
          <w:tab w:leader="none" w:pos="69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Disclosure</w:t>
      </w:r>
      <w:r>
        <w:rPr>
          <w:rFonts w:ascii="Times New Roman" w:cs="Times New Roman" w:eastAsia="Times New Roman" w:hAnsi="Times New Roman"/>
          <w:sz w:val="18"/>
          <w:szCs w:val="18"/>
          <w:color w:val="auto"/>
        </w:rPr>
        <w:t>. Subject to the terms and conditions of this Agreement: (a)either Receiving Party may disclose such Confidential Information (i) to its Affiliates and to the Receiving Party’s and its Affiliates’ directors, officers (including managing members or partners), limited partners, directors, employees, accountants, attorneys, financial advisors or consultants (together, “Representatives”) who (A) have a need to know the Confidential Information for the Permitted Purpose, (B) are apprised of the confidential nature of the Confidential Information and (C) are under written or professional obligations of confidentiality, non-disclosure and non-use in respect of Confidential Information to Receiving Party at least as stringent as those contained herein or (ii) as required by law, regulation, subpoena or court order or otherwise in connection with a judicial, administrative or governmental proceeding, provided that, in the event that the Receiving Party is required or requested to make such disclosure, the Receiving Party shall, to the extent legally permissible, notify the Disclosing Party in advance of the disclosure so as to allow the Disclosing Party an opportunity to seek (at the Disclosing Party’s sole expense) a protective order or other appropriate remedy; in the case of disclosures of information pertaining to the Purchaser Agent and/or the Purchasers, provided, further, that such notice and opportunity shall not be required in respect of (A) disclosures required pursuant to the Securities Act, the Exchange Act, or the listing rules of the Nasdaq Capital Market, the Nasdaq Global Select Market, the Nasdaq Global Market or the New York Stock Exchange (or any nationally recognized securities exchange that is a successor to any of the foregoing) on which the Company’s common stock is listed or (B) disclosures to any regulatory or self-regulatory authority as required by Applicable Law in connection with an examination, audit, inspection, inquiry, request or general supervisory oversight, and (b) the Purchaser and Purchaser Agent may disclose such Confidential Information (i) so long as such Persons are subject to customary confidentiality obligations, in connection with a Purchaser’s own financing or securitization transactions and upon the occurrence of a default, event of default or similar occurrence with respect to such financing or securitization transaction, (ii) to prospective transferees (other than those identified in the immediately preceding clause (i)) or purchasers of any interest in the Revenue Interests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Purchasers and Purchaser Agent shall obtain such prospective transferee’s or purchaser’s agreement to the terms of this provision or to similar confidentiality terms), (iii) as Purchaser Agent reasonably considers appropriate in exercising remedies under the Transaction Documents or (iv) to any actual or potential investors, co-investors, members, and partners or their Affiliates so long as such Persons are subject to confidentiality, non-use and non-disclosure obligations in respect of such Confidential Information at least as restrictive as those contained herein. The Receiving Party shall be responsible for any breaches of this Section by its Representatives.</w:t>
      </w:r>
    </w:p>
    <w:p>
      <w:pPr>
        <w:spacing w:after="0" w:line="97" w:lineRule="exact"/>
        <w:rPr>
          <w:rFonts w:ascii="Times New Roman" w:cs="Times New Roman" w:eastAsia="Times New Roman" w:hAnsi="Times New Roman"/>
          <w:sz w:val="18"/>
          <w:szCs w:val="18"/>
          <w:color w:val="auto"/>
        </w:rPr>
      </w:pPr>
    </w:p>
    <w:p>
      <w:pPr>
        <w:ind w:right="180" w:firstLine="436"/>
        <w:spacing w:after="0" w:line="261" w:lineRule="auto"/>
        <w:tabs>
          <w:tab w:leader="none" w:pos="68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subject to the foregoing, the prohibitions on disclosure in this Section shall not apply to information that the Receiving Party can demonstrate: (i) is in the public domain or in the Receiving Party’s possession when disclosed to the Receiving Party, or becomes part of the public domain after disclosure to the Receiving Party; or (ii) is disclosed to the Receiving Party by a third party, if the Receiving Party does not know that the third party is prohibited from disclosing the information.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20"/>
          </w:cols>
          <w:pgMar w:left="440" w:top="266" w:right="439" w:bottom="1440" w:gutter="0" w:footer="0" w:header="0"/>
        </w:sectPr>
      </w:pPr>
    </w:p>
    <w:bookmarkStart w:id="77" w:name="page78"/>
    <w:bookmarkEnd w:id="77"/>
    <w:p>
      <w:pPr>
        <w:ind w:left="4" w:firstLine="436"/>
        <w:spacing w:after="0" w:line="255" w:lineRule="auto"/>
        <w:tabs>
          <w:tab w:leader="none" w:pos="69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herein to the contrary, (i) the Purchasers and Purchaser Agent may use Confidential Information for the development of client databases, reporting purposes and market analysis, (ii) after the Closing Date, any Purchaser may disclose the transaction contemplated by the Transaction Documents on its website and in marketing materials (which may include use of logos of one or more of the Obligors) and (iii) on the Closing Date or such other date mutually agreed to by the Company and Purchaser Agent, the Obligors shall issue the Press Release. Except as otherwise provided in this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a party may not use the name, likeness or trademarks of the other party or its Representatives for any purpose, including without limitation, to express or imply any relationship or affiliation between the parties, or any endorsement of any product or service, without the other party’s prior written consent.</w:t>
      </w:r>
    </w:p>
    <w:p>
      <w:pPr>
        <w:spacing w:after="0" w:line="80" w:lineRule="exact"/>
        <w:rPr>
          <w:rFonts w:ascii="Times New Roman" w:cs="Times New Roman" w:eastAsia="Times New Roman" w:hAnsi="Times New Roman"/>
          <w:sz w:val="18"/>
          <w:szCs w:val="18"/>
          <w:color w:val="auto"/>
        </w:rPr>
      </w:pPr>
    </w:p>
    <w:p>
      <w:pPr>
        <w:ind w:left="4" w:right="140" w:firstLine="436"/>
        <w:spacing w:after="0" w:line="282" w:lineRule="auto"/>
        <w:tabs>
          <w:tab w:leader="none" w:pos="68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agreements provided under this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xml:space="preserve"> supersede all prior agreements, understanding, representations, warranties, and negotiations between the parties about the subject matter of this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Section 5.05 </w:t>
      </w:r>
      <w:r>
        <w:rPr>
          <w:rFonts w:ascii="Times New Roman" w:cs="Times New Roman" w:eastAsia="Times New Roman" w:hAnsi="Times New Roman"/>
          <w:sz w:val="18"/>
          <w:szCs w:val="18"/>
          <w:u w:val="single" w:color="auto"/>
          <w:color w:val="auto"/>
        </w:rPr>
        <w:t>Security Interest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firstLine="440"/>
        <w:spacing w:after="0" w:line="289" w:lineRule="auto"/>
        <w:rPr>
          <w:sz w:val="20"/>
          <w:szCs w:val="20"/>
          <w:color w:val="auto"/>
        </w:rPr>
      </w:pPr>
      <w:r>
        <w:rPr>
          <w:rFonts w:ascii="Times New Roman" w:cs="Times New Roman" w:eastAsia="Times New Roman" w:hAnsi="Times New Roman"/>
          <w:sz w:val="17"/>
          <w:szCs w:val="17"/>
          <w:color w:val="auto"/>
        </w:rPr>
        <w:t>During the Revenue Interest Period, and at all times until the Obligations are paid and performed in full (other than inchoate indemnity obligations for which no claim has been made), each Obligor shall grant in favor of the Purchaser Agent, for the benefit of the Purchasers, a valid, continuing, first priority (subject to Permitted Priority Liens) perfected lien on and security interest in the Collateral described in the Security Agreement.</w:t>
      </w:r>
    </w:p>
    <w:p>
      <w:pPr>
        <w:spacing w:after="0" w:line="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Section 5.06 </w:t>
      </w:r>
      <w:r>
        <w:rPr>
          <w:rFonts w:ascii="Times New Roman" w:cs="Times New Roman" w:eastAsia="Times New Roman" w:hAnsi="Times New Roman"/>
          <w:sz w:val="18"/>
          <w:szCs w:val="18"/>
          <w:u w:val="single" w:color="auto"/>
          <w:color w:val="auto"/>
        </w:rPr>
        <w:t>Further Assurances; Creation/Acquisition of Subsidiaries; Additional Collateral; Control Agreements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right="60" w:firstLine="436"/>
        <w:spacing w:after="0" w:line="272" w:lineRule="auto"/>
        <w:tabs>
          <w:tab w:leader="none" w:pos="689" w:val="left"/>
        </w:tabs>
        <w:numPr>
          <w:ilvl w:val="1"/>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the obligations of the Obligors in the Security Agreement or in the other Transaction Documents, each Obligor hereby agrees to take such action and execute, acknowledge and deliver, and cause each of its Subsidiaries to take such action and execute, acknowledge and deliver, at its sole cost and expense, such agreements, instruments or other documents as the Purchaser Agent may reasonably request from time to time in order</w:t>
      </w:r>
    </w:p>
    <w:p>
      <w:pPr>
        <w:spacing w:after="0" w:line="1" w:lineRule="exact"/>
        <w:rPr>
          <w:rFonts w:ascii="Times New Roman" w:cs="Times New Roman" w:eastAsia="Times New Roman" w:hAnsi="Times New Roman"/>
          <w:sz w:val="17"/>
          <w:szCs w:val="17"/>
          <w:color w:val="auto"/>
        </w:rPr>
      </w:pPr>
    </w:p>
    <w:p>
      <w:pPr>
        <w:ind w:left="4" w:hanging="4"/>
        <w:spacing w:after="0" w:line="251" w:lineRule="auto"/>
        <w:tabs>
          <w:tab w:leader="none" w:pos="21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carry out more effectively the purposes of this Agreement and the other Transaction Documents, (ii) to subject to valid and perfected first priority Liens any of the Collateral or any other property of any Obligor and its Subsidiaries (other than Excluded Subsidiaries so long as such Subsidiaries remain Excluded Subsidiaries) intended to be Collateral hereunder free and clear of Liens (other than Permitted Liens) and to assign the Revenue Interests to the Purchasers, (iii) to establish and maintain the validity and effectiveness of any of the Transaction Documents and the validity, perfection and priority of the Liens intended to be created thereby (including, without limitation, making all filings and registrations), and (iv) to better assure, convey, grant, assign, transfer and confirm unto each Purchaser the rights now or hereafter intended to be granted to it under this Agreement or any other Transaction Document. In furtherance of the foregoing, to the maximum extent permitted by Applicable Law, each Obligor (i) authorizes the Purchaser Agent to execute any such agreements, instruments or other documents in each Obligor’s name and to file such agreements, instruments or other documents in any appropriate filing office if any Obligor refuses or fails to execute or deliver any of the above reasonably requested agreements, instruments or documents within ten (10) days of the Purchaser Agent’s request to do so and (ii) authorizes the Purchaser Agent to file any financing statement required hereunder or under any other Transaction Document, and any continuation statement or amendment with respect thereto, in any appropriate filing office without the signature of such Obligor.</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4"/>
          </w:cols>
          <w:pgMar w:left="436" w:top="270" w:right="459" w:bottom="1440" w:gutter="0" w:footer="0" w:header="0"/>
        </w:sectPr>
      </w:pPr>
    </w:p>
    <w:bookmarkStart w:id="78" w:name="page79"/>
    <w:bookmarkEnd w:id="78"/>
    <w:p>
      <w:pPr>
        <w:ind w:left="4" w:firstLine="436"/>
        <w:spacing w:after="0" w:line="254" w:lineRule="auto"/>
        <w:tabs>
          <w:tab w:leader="none" w:pos="699"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Obligors and the Purchasers shall cooperate and provide assistance as reasonably requested by the other party hereto, at the expense of such other party hereto (except as otherwise set forth herein), in connection with any litigation, arbitration, investigation or other proceeding (whether threatened, existing, initiated or contemplated prior to, on or after the date hereof) to which the other party hereto, any of its Affiliates or controlling persons or any of their respective officers, directors, equityholders, controlling persons, managers, agents or employees is or may become a party or is or may become otherwise directly or indirectly affected or as to which any such Persons have a direct or indirect interest, in each case relating to any Transaction Document, the transactions contemplated herein or therein or the Revenue Interests but in all cases excluding any litigation brought by the Company or its Affiliates against the Purchasers or Purchaser Agent or brought by the Purchasers or Purchaser Agent (for itself or on behalf of any Indemnified Party) against any Obligor.</w:t>
      </w:r>
    </w:p>
    <w:p>
      <w:pPr>
        <w:spacing w:after="0" w:line="83" w:lineRule="exact"/>
        <w:rPr>
          <w:rFonts w:ascii="Times New Roman" w:cs="Times New Roman" w:eastAsia="Times New Roman" w:hAnsi="Times New Roman"/>
          <w:sz w:val="18"/>
          <w:szCs w:val="18"/>
          <w:color w:val="auto"/>
        </w:rPr>
      </w:pPr>
    </w:p>
    <w:p>
      <w:pPr>
        <w:ind w:left="4" w:right="40" w:firstLine="436"/>
        <w:spacing w:after="0" w:line="254" w:lineRule="auto"/>
        <w:tabs>
          <w:tab w:leader="none" w:pos="689"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(x) the Company or any of its Subsidiaries creates or acquires any Subsidiary (other than an Excluded Subsidiary) or (y) any Excluded Subsidiary ceases to be an Excluded Subsidiary, the Company shall provide prompt written notice to the Purchaser Agent of the creation or acquisition of such new Subsidiary or of such Excluded Subsidiary ceasing to be an Excluded Subsidiary, as applicable, and, promptly (and in any event no later than the earlier of any Transfer of any assets to such Subsidiary and thirty (30) days after the creation or acquisition thereof or any such Subsidiary ceasing to be an Excluded Subsidiary, as applicable), take all such action as may be reasonably required by the Purchaser Agent or any Purchaser to cause such Subsidiary to become a Subsidiary Guarantor, including without limitation by executing and delivering a Guaranty (or a joinder thereto), becoming a party to the Security Agreement (or delivering a foreign security agreement in form and substance reasonably satisfactory to Purchaser Agent) and delivering such proof of corporate action, incumbency of officers, opinions of counsel and other documents as requested by the Purchaser Agent.</w:t>
      </w:r>
    </w:p>
    <w:p>
      <w:pPr>
        <w:spacing w:after="0" w:line="80" w:lineRule="exact"/>
        <w:rPr>
          <w:rFonts w:ascii="Times New Roman" w:cs="Times New Roman" w:eastAsia="Times New Roman" w:hAnsi="Times New Roman"/>
          <w:sz w:val="18"/>
          <w:szCs w:val="18"/>
          <w:color w:val="auto"/>
        </w:rPr>
      </w:pPr>
    </w:p>
    <w:p>
      <w:pPr>
        <w:jc w:val="both"/>
        <w:ind w:left="4" w:right="460" w:firstLine="436"/>
        <w:spacing w:after="0" w:line="255" w:lineRule="auto"/>
        <w:tabs>
          <w:tab w:leader="none" w:pos="699"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Collateral acquired after the Closing Date by any Obligor that is not already subject to the Lien created by any of the Transaction Documents or specifically excluded from the requirement to be subject to such Lien in the Transaction Documents, the Obligors shall promptly (and in any event within thirty (30)days after the acquisition thereof) (i) execute and deliver to the Purchaser Agent such amendments or supplements to the relevant Transaction Documents or such other documents</w:t>
      </w:r>
    </w:p>
    <w:p>
      <w:pPr>
        <w:spacing w:after="0" w:line="2" w:lineRule="exact"/>
        <w:rPr>
          <w:rFonts w:ascii="Times New Roman" w:cs="Times New Roman" w:eastAsia="Times New Roman" w:hAnsi="Times New Roman"/>
          <w:sz w:val="18"/>
          <w:szCs w:val="18"/>
          <w:color w:val="auto"/>
        </w:rPr>
      </w:pPr>
    </w:p>
    <w:p>
      <w:pPr>
        <w:ind w:left="4"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Purchaser Agent shall deem necessary or advisable to grant for its benefit, a Lien on such property subject to no Liens other than Permitted Liens, and (ii) take all actions necessary to cause such Lien to be duly perfected in accordance with all applicable requirements of Applicable Law, including the filing of financing statements in such jurisdictions as may be reasonably requested by the Purchaser Agent. Each Obligor shall otherwise take such actions and execute and/or deliver to the Purchaser Agent such documents as the Purchaser Agent shall reasonably require to confirm the validity, perfection and priority of the Lien of the Security Agreement on such after-acquired properties.</w:t>
      </w:r>
    </w:p>
    <w:p>
      <w:pPr>
        <w:spacing w:after="0" w:line="78" w:lineRule="exact"/>
        <w:rPr>
          <w:rFonts w:ascii="Times New Roman" w:cs="Times New Roman" w:eastAsia="Times New Roman" w:hAnsi="Times New Roman"/>
          <w:sz w:val="18"/>
          <w:szCs w:val="18"/>
          <w:color w:val="auto"/>
        </w:rPr>
      </w:pPr>
    </w:p>
    <w:p>
      <w:pPr>
        <w:jc w:val="both"/>
        <w:ind w:left="4" w:right="40" w:firstLine="436"/>
        <w:spacing w:after="0" w:line="254" w:lineRule="auto"/>
        <w:tabs>
          <w:tab w:leader="none" w:pos="689"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Obligors (excluding VivaBioCell, S.p.A. (to the extent it becomes an Obligor)) shall not establish or maintain any bank account except for bank accounts with Globally Systemically Important Banks;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Obligors may maintain the bank accounts set forth on </w:t>
      </w:r>
      <w:r>
        <w:rPr>
          <w:rFonts w:ascii="Times New Roman" w:cs="Times New Roman" w:eastAsia="Times New Roman" w:hAnsi="Times New Roman"/>
          <w:sz w:val="18"/>
          <w:szCs w:val="18"/>
          <w:u w:val="single" w:color="auto"/>
          <w:color w:val="auto"/>
        </w:rPr>
        <w:t>Schedule 5.06(e)</w:t>
      </w:r>
      <w:r>
        <w:rPr>
          <w:rFonts w:ascii="Times New Roman" w:cs="Times New Roman" w:eastAsia="Times New Roman" w:hAnsi="Times New Roman"/>
          <w:sz w:val="18"/>
          <w:szCs w:val="18"/>
          <w:color w:val="auto"/>
        </w:rPr>
        <w:t xml:space="preserve"> to the Disclosure Letter as of the Closing Date (which bank accounts constitute all of the deposit accounts, securities accounts or other similar accounts maintained by the Obligors on the Closing Date that are not held with Globally Systemically Important Banks) until the date that is ninety (90) days following the Closing Date. In addition, no Obligor will establish or maintain any bank account unless (x) Purchaser Agent is provided at least ten</w:t>
      </w:r>
    </w:p>
    <w:p>
      <w:pPr>
        <w:spacing w:after="0" w:line="3" w:lineRule="exact"/>
        <w:rPr>
          <w:rFonts w:ascii="Times New Roman" w:cs="Times New Roman" w:eastAsia="Times New Roman" w:hAnsi="Times New Roman"/>
          <w:sz w:val="18"/>
          <w:szCs w:val="18"/>
          <w:color w:val="auto"/>
        </w:rPr>
      </w:pPr>
    </w:p>
    <w:p>
      <w:pPr>
        <w:ind w:left="4" w:right="100" w:hanging="4"/>
        <w:spacing w:after="0" w:line="251" w:lineRule="auto"/>
        <w:tabs>
          <w:tab w:leader="none" w:pos="34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prior written notice of the establishment of such account and (y) (I) with respect to any bank account located in the United States, Purchaser Agent, such Obligor and the bank or other financial institution at which the account is to be opened or maintained enter into a Control Agreement regarding such bank account prior to depositing any funds into such new bank account and in any event within fifteen (15) days following the opening of such new bank account and (II) with respect to any bank account located outside of the United States, such Obligor provide Purchaser Agent with documentation satisfactory to Purchaser Agent in its sole discretion to provide Purchaser Agent with a first-priority perfected security interest in such new bank account;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foregoing requirement to deliver a Control Agreement or applicable foreign law documentation shall not apply to any Excluded Account, whether now existing or opened hereafter; </w:t>
      </w:r>
      <w:r>
        <w:rPr>
          <w:rFonts w:ascii="Times New Roman" w:cs="Times New Roman" w:eastAsia="Times New Roman" w:hAnsi="Times New Roman"/>
          <w:sz w:val="18"/>
          <w:szCs w:val="18"/>
          <w:u w:val="single" w:color="auto"/>
          <w:color w:val="auto"/>
        </w:rPr>
        <w:t>provided further that</w:t>
      </w:r>
      <w:r>
        <w:rPr>
          <w:rFonts w:ascii="Times New Roman" w:cs="Times New Roman" w:eastAsia="Times New Roman" w:hAnsi="Times New Roman"/>
          <w:sz w:val="18"/>
          <w:szCs w:val="18"/>
          <w:color w:val="auto"/>
        </w:rPr>
        <w:t xml:space="preserve"> in the event that any Excluded Account cease to be an Excluded Account it shall be subject to the requirement to deliver a Control Agreement or applicable foreign law documentation as if such account was opened on the day it ceased to be an Excluded Account.</w:t>
      </w:r>
    </w:p>
    <w:p>
      <w:pPr>
        <w:spacing w:after="0" w:line="24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4"/>
          </w:cols>
          <w:pgMar w:left="436" w:top="270" w:right="459" w:bottom="1440" w:gutter="0" w:footer="0" w:header="0"/>
        </w:sectPr>
      </w:pPr>
    </w:p>
    <w:bookmarkStart w:id="79" w:name="page80"/>
    <w:bookmarkEnd w:id="79"/>
    <w:p>
      <w:pPr>
        <w:ind w:firstLine="436"/>
        <w:spacing w:after="0" w:line="253" w:lineRule="auto"/>
        <w:tabs>
          <w:tab w:leader="none" w:pos="66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Obligor shall keep its and its Subsidiaries’ business and the Collateral insured for risks and in amounts customary for companies in the Obligors’ industry and location. Insurance policies shall be in a form, with companies, and in amounts that are customary for companies in the Obligors’ industry and location;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such insurance shall at all times be at least as comprehensive as, and in amounts no lower than, the insurance that is in effect on the Closing Date. All property policies applicable to any Obligor shall have a lender’s loss payable endorsement showing Purchaser Agent as lender loss payee and waive subrogation against Purchaser Agent, and all liability policies applicable to any Obligor shall show, or have endorsements showing, Purchaser Agent as additional insured. Purchaser Agent shall be named as lender loss payee and/or additional insured with respect to any such insurance providing coverage in respect of any Collateral, and Obligors shall endeavor to cause each provider of any such insurance to agree, by endorsement upon the policy or policies issued by it or by independent instruments furnished to Purchaser Agent, that it will give Purchaser Agent thirty (30) days prior written notice before any such policy or policies shall be materially diminished or canceled;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if any such provider does not agree to provide such notice, then the applicable Obligor or Subsidiary shall not materially diminish or cancel any such policy or policies without giving Purchaser Agent thirty (30) days prior written notice. At Purchaser Agent’s request, the Obligors shall deliver certified copies of policies and evidence of all premium payments.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5.07 </w:t>
      </w:r>
      <w:r>
        <w:rPr>
          <w:rFonts w:ascii="Times New Roman" w:cs="Times New Roman" w:eastAsia="Times New Roman" w:hAnsi="Times New Roman"/>
          <w:sz w:val="18"/>
          <w:szCs w:val="18"/>
          <w:u w:val="single" w:color="auto"/>
          <w:color w:val="auto"/>
        </w:rPr>
        <w:t>Put Option; Call Option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680" w:hanging="244"/>
        <w:spacing w:after="0"/>
        <w:tabs>
          <w:tab w:leader="none" w:pos="6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Put Option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firstLine="419"/>
        <w:spacing w:after="0" w:line="255" w:lineRule="auto"/>
        <w:tabs>
          <w:tab w:leader="none" w:pos="1078"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and during the continuance of a Put Option Event, the Purchasers, or the Purchaser Agent on behalf of the Purchasers, will have the option to accelerate and require the Company to repurchase all, but not less than all, of the Revenue Interests and to terminate the Purchaser Commitments for a payment equal to the then-current Put/Call Price as of the date of the Put Option Closing Date (the “</w:t>
      </w:r>
      <w:r>
        <w:rPr>
          <w:rFonts w:ascii="Times New Roman" w:cs="Times New Roman" w:eastAsia="Times New Roman" w:hAnsi="Times New Roman"/>
          <w:sz w:val="18"/>
          <w:szCs w:val="18"/>
          <w:u w:val="single" w:color="auto"/>
          <w:color w:val="auto"/>
        </w:rPr>
        <w:t>Put Option</w:t>
      </w:r>
      <w:r>
        <w:rPr>
          <w:rFonts w:ascii="Times New Roman" w:cs="Times New Roman" w:eastAsia="Times New Roman" w:hAnsi="Times New Roman"/>
          <w:sz w:val="18"/>
          <w:szCs w:val="18"/>
          <w:color w:val="auto"/>
        </w:rPr>
        <w:t>”). The Purchasers or the Purchaser Agent may exercise the Put Option at any time after the occurrence and during the continuance of a Put Option Event by delivering to the Company written notice thereof (the “</w:t>
      </w:r>
      <w:r>
        <w:rPr>
          <w:rFonts w:ascii="Times New Roman" w:cs="Times New Roman" w:eastAsia="Times New Roman" w:hAnsi="Times New Roman"/>
          <w:sz w:val="18"/>
          <w:szCs w:val="18"/>
          <w:u w:val="single" w:color="auto"/>
          <w:color w:val="auto"/>
        </w:rPr>
        <w:t>Put Notice</w:t>
      </w:r>
      <w:r>
        <w:rPr>
          <w:rFonts w:ascii="Times New Roman" w:cs="Times New Roman" w:eastAsia="Times New Roman" w:hAnsi="Times New Roman"/>
          <w:sz w:val="18"/>
          <w:szCs w:val="18"/>
          <w:color w:val="auto"/>
        </w:rPr>
        <w:t>”). If Purchasers (or the Purchaser Agent) exercise the Put Option, then on the date specified in the Put Notice (which may be immediate) (the “</w:t>
      </w:r>
      <w:r>
        <w:rPr>
          <w:rFonts w:ascii="Times New Roman" w:cs="Times New Roman" w:eastAsia="Times New Roman" w:hAnsi="Times New Roman"/>
          <w:sz w:val="18"/>
          <w:szCs w:val="18"/>
          <w:u w:val="single" w:color="auto"/>
          <w:color w:val="auto"/>
        </w:rPr>
        <w:t>Put Option Closing Date</w:t>
      </w:r>
      <w:r>
        <w:rPr>
          <w:rFonts w:ascii="Times New Roman" w:cs="Times New Roman" w:eastAsia="Times New Roman" w:hAnsi="Times New Roman"/>
          <w:sz w:val="18"/>
          <w:szCs w:val="18"/>
          <w:color w:val="auto"/>
        </w:rPr>
        <w:t>”), the Company will pay the Put/Call Price to the Purchaser by wire transfer of immediately available funds to the account or accounts designated by the Purchaser Agent.</w:t>
      </w:r>
    </w:p>
    <w:p>
      <w:pPr>
        <w:spacing w:after="0" w:line="80" w:lineRule="exact"/>
        <w:rPr>
          <w:rFonts w:ascii="Times New Roman" w:cs="Times New Roman" w:eastAsia="Times New Roman" w:hAnsi="Times New Roman"/>
          <w:sz w:val="18"/>
          <w:szCs w:val="18"/>
          <w:color w:val="auto"/>
        </w:rPr>
      </w:pPr>
    </w:p>
    <w:p>
      <w:pPr>
        <w:ind w:left="440" w:right="60" w:firstLine="419"/>
        <w:spacing w:after="0" w:line="256" w:lineRule="auto"/>
        <w:tabs>
          <w:tab w:leader="none" w:pos="1128"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(A) immediately upon the occurrence of a Bankruptcy Event, the Purchasers shall be deemed to have automatically and simultaneously elected to require the Company to repurchase the Revenue Interests and to terminate the Purchaser Commitments and the Put/Call Price shall be immediately due and payable and the Purchaser Commitments shall be immediately terminated, without any further action or notice by any party, and (B) in the case of a Put Option Event constituting a Change of Control, the Purchasers (or Purchaser Agent) may deliver a Put Notice in advance of a Change of Control specifying that the Put Option is exercised contingent upon such Change of Control and that the Put Option Closing Date shall be the date of such Change of Control.</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980"/>
          </w:cols>
          <w:pgMar w:left="440" w:top="270" w:right="479" w:bottom="1440" w:gutter="0" w:footer="0" w:header="0"/>
        </w:sectPr>
      </w:pPr>
    </w:p>
    <w:bookmarkStart w:id="80" w:name="page81"/>
    <w:bookmarkEnd w:id="80"/>
    <w:p>
      <w:pPr>
        <w:ind w:left="440" w:right="20" w:firstLine="419"/>
        <w:spacing w:after="0" w:line="258" w:lineRule="auto"/>
        <w:tabs>
          <w:tab w:leader="none" w:pos="1178"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avoidance of doubt, (A) the Purchasers’ election not to exercise the Put Option with respect to a given Put Option Event will not preclude the Purchasers from exercising the Put Option with respect to a continuing or subsequent Put Option Event, (B) a Put Option Event shall be deemed to exist at all times during the period commencing on the date that such Put Option Event occurs to the date on which such Put Option Event is waived in writing pursuant to this Agreement, and (C) a Put Option Event shall “continue” or be “continuing” until such Put Option Event has been waived in writing by the Purchasers.</w:t>
      </w:r>
    </w:p>
    <w:p>
      <w:pPr>
        <w:spacing w:after="0" w:line="75" w:lineRule="exact"/>
        <w:rPr>
          <w:rFonts w:ascii="Times New Roman" w:cs="Times New Roman" w:eastAsia="Times New Roman" w:hAnsi="Times New Roman"/>
          <w:sz w:val="18"/>
          <w:szCs w:val="18"/>
          <w:color w:val="auto"/>
        </w:rPr>
      </w:pPr>
    </w:p>
    <w:p>
      <w:pPr>
        <w:ind w:left="440" w:firstLine="419"/>
        <w:spacing w:after="0" w:line="251" w:lineRule="auto"/>
        <w:tabs>
          <w:tab w:leader="none" w:pos="1168"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and during the continuance of a Put Option Event, unless payment of the Put/Call Price has been made when due, the Purchasers and the Purchaser Agent, on behalf of the Purchasers, may exercise all rights and remedies available to the Purchasers or the Purchaser Agent as creditors hereunder and under the other Transaction Documents and Applicable Law (which exercise may be determined in its sole discretion and which such exercise shall not constitute an election of remedies), including enforcement of the Liens created thereby. For the avoidance of doubt, the parties hereto intend for the Revenue Interests to constitute a debt obligation of the Company arising out of a loan made by the Purchasers pursuant to this Agreement in the amount of the Cumulative Purchaser Payments and, in consideration for such loan, the Put/Call Price shall be due and payable at any time the Put Option or the Call Option is exercised or the Obligations are otherwise accelerated hereunder for any reason, whether due to acceleration pursuant to the terms of this Agreement, by operation of law or otherwise (including where bankruptcy filings or the exercise of any bankruptcy right or power, whether in any plan of reorganization or otherwise, results or would result in a payment, discharge, modification or other treatment of the Revenue Interests that would otherwise evade, avoid, or otherwise disappoint the expectations of the Purchasers in receiving the full benefit of the bargained-for Put/Call Price). The Company and the Purchasers acknowledge and agree that none of the Put/Call Price shall constitute unmatured interest, whether under Section 502(b)(2) of the United States Bankruptcy Code or otherwise (except as required for any Tax purpose), but instead is reasonably calculated to ensure that the Purchasers receive the benefit of their bargain under the terms of this Agreement. The Company acknowledges and agrees that the Purchasers shall be entitled to</w:t>
      </w:r>
    </w:p>
    <w:p>
      <w:pPr>
        <w:spacing w:after="0" w:line="11" w:lineRule="exact"/>
        <w:rPr>
          <w:rFonts w:ascii="Times New Roman" w:cs="Times New Roman" w:eastAsia="Times New Roman" w:hAnsi="Times New Roman"/>
          <w:sz w:val="18"/>
          <w:szCs w:val="18"/>
          <w:color w:val="auto"/>
        </w:rPr>
      </w:pPr>
    </w:p>
    <w:p>
      <w:pPr>
        <w:ind w:left="440"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the full amount of the Put/Call Price in each and every circumstance such amount is due pursuant to or in connection with this Agreement, including in the case of any Bankruptcy Event, so that the Purchasers shall receive the benefit of its bargain hereunder and otherwise receive full recovery as agreed under every possible circumstance, and, to the fullest extent permitted by maximum law, the Company hereby waives any defense to payment, whether such defense may be based in public policy, ambiguity, or otherwise. The Company further acknowledges and agrees, and, to the fullest extent permitted by Applicable Law, waives any argument to the contrary, that payment of such amounts does not constitute a penalty or an otherwise unenforceable or invalid obligation. Any damages that the Purchasers may suffer or incur resulting from or arising in connection with any breach hereof or thereof by the Company shall constitute secured Obligations.</w:t>
      </w:r>
    </w:p>
    <w:p>
      <w:pPr>
        <w:spacing w:after="0" w:line="80"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Call Option</w:t>
      </w:r>
      <w:r>
        <w:rPr>
          <w:rFonts w:ascii="Times New Roman" w:cs="Times New Roman" w:eastAsia="Times New Roman" w:hAnsi="Times New Roman"/>
          <w:sz w:val="18"/>
          <w:szCs w:val="18"/>
          <w:color w:val="auto"/>
        </w:rPr>
        <w:t xml:space="preserve">. At any time during the Term (but subject to the last sentence of this </w:t>
      </w:r>
      <w:r>
        <w:rPr>
          <w:rFonts w:ascii="Times New Roman" w:cs="Times New Roman" w:eastAsia="Times New Roman" w:hAnsi="Times New Roman"/>
          <w:sz w:val="18"/>
          <w:szCs w:val="18"/>
          <w:u w:val="single" w:color="auto"/>
          <w:color w:val="auto"/>
        </w:rPr>
        <w:t>Section 5.07(b)</w:t>
      </w:r>
      <w:r>
        <w:rPr>
          <w:rFonts w:ascii="Times New Roman" w:cs="Times New Roman" w:eastAsia="Times New Roman" w:hAnsi="Times New Roman"/>
          <w:sz w:val="18"/>
          <w:szCs w:val="18"/>
          <w:color w:val="auto"/>
        </w:rPr>
        <w:t>), the Company will have the option to repurchase all, but not less than all of, the Revenue Interests for a payment equal to the then-current Put/Call Price (the “</w:t>
      </w:r>
      <w:r>
        <w:rPr>
          <w:rFonts w:ascii="Times New Roman" w:cs="Times New Roman" w:eastAsia="Times New Roman" w:hAnsi="Times New Roman"/>
          <w:sz w:val="18"/>
          <w:szCs w:val="18"/>
          <w:u w:val="single" w:color="auto"/>
          <w:color w:val="auto"/>
        </w:rPr>
        <w:t>Call Option</w:t>
      </w:r>
      <w:r>
        <w:rPr>
          <w:rFonts w:ascii="Times New Roman" w:cs="Times New Roman" w:eastAsia="Times New Roman" w:hAnsi="Times New Roman"/>
          <w:sz w:val="18"/>
          <w:szCs w:val="18"/>
          <w:color w:val="auto"/>
        </w:rPr>
        <w:t>”). The Company may exercise the Call Option by delivering to the Purchaser Agent written notice thereof (the “</w:t>
      </w:r>
      <w:r>
        <w:rPr>
          <w:rFonts w:ascii="Times New Roman" w:cs="Times New Roman" w:eastAsia="Times New Roman" w:hAnsi="Times New Roman"/>
          <w:sz w:val="18"/>
          <w:szCs w:val="18"/>
          <w:u w:val="single" w:color="auto"/>
          <w:color w:val="auto"/>
        </w:rPr>
        <w:t>Call Notice</w:t>
      </w:r>
      <w:r>
        <w:rPr>
          <w:rFonts w:ascii="Times New Roman" w:cs="Times New Roman" w:eastAsia="Times New Roman" w:hAnsi="Times New Roman"/>
          <w:sz w:val="18"/>
          <w:szCs w:val="18"/>
          <w:color w:val="auto"/>
        </w:rPr>
        <w:t>”). If the Company exercises the Call Option, then within ten (10) days following the date of delivery of the Call Notice (the “</w:t>
      </w:r>
      <w:r>
        <w:rPr>
          <w:rFonts w:ascii="Times New Roman" w:cs="Times New Roman" w:eastAsia="Times New Roman" w:hAnsi="Times New Roman"/>
          <w:sz w:val="18"/>
          <w:szCs w:val="18"/>
          <w:u w:val="single" w:color="auto"/>
          <w:color w:val="auto"/>
        </w:rPr>
        <w:t>Call Closing Date</w:t>
      </w:r>
      <w:r>
        <w:rPr>
          <w:rFonts w:ascii="Times New Roman" w:cs="Times New Roman" w:eastAsia="Times New Roman" w:hAnsi="Times New Roman"/>
          <w:sz w:val="18"/>
          <w:szCs w:val="18"/>
          <w:color w:val="auto"/>
        </w:rPr>
        <w:t xml:space="preserve">”), the Company will pay the then-current Put/Call Price to the Purchasers by wire transfer of immediately available funds to the account or accounts designated by the Purchaser Agent. Effective as of the Call Closing Date, all Purchaser Commitments shall immediately terminate. Notwithstanding anything to the contrary contained in this Agreement, the Company may rescind any Call Notice (or make such Call Notice, by its terms, conditioned on the occurrence or non-occurrence of subsequent events) and payment pursuant to this </w:t>
      </w:r>
      <w:r>
        <w:rPr>
          <w:rFonts w:ascii="Times New Roman" w:cs="Times New Roman" w:eastAsia="Times New Roman" w:hAnsi="Times New Roman"/>
          <w:sz w:val="18"/>
          <w:szCs w:val="18"/>
          <w:u w:val="single" w:color="auto"/>
          <w:color w:val="auto"/>
        </w:rPr>
        <w:t>Section 5.07(b)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Company must provide the Purchaser Agent with a new notice at least five (5) days prior to any Call Closing Date if the Company has rescinded the notice. Notwithstanding the foregoing, if the Purchaser Agent and/or Purchasers have issued a Funding Election Notice, the Company will not be permitted to exercise the Call Option (and no Call Closing Date will occur) during the period commencing on the FDA Approval Date through, and including, the earlier of (a) the Second Purchaser Payment Date and (b) thirty (30) days following the FDA Approval Date.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440" w:top="270" w:right="459" w:bottom="1440" w:gutter="0" w:footer="0" w:header="0"/>
        </w:sectPr>
      </w:pPr>
    </w:p>
    <w:bookmarkStart w:id="81" w:name="page82"/>
    <w:bookmarkEnd w:id="81"/>
    <w:p>
      <w:pPr>
        <w:ind w:right="20" w:firstLine="436"/>
        <w:spacing w:after="0" w:line="258" w:lineRule="auto"/>
        <w:tabs>
          <w:tab w:leader="none" w:pos="68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Right of Set-off; Sharing of Set-off</w:t>
      </w:r>
      <w:r>
        <w:rPr>
          <w:rFonts w:ascii="Times New Roman" w:cs="Times New Roman" w:eastAsia="Times New Roman" w:hAnsi="Times New Roman"/>
          <w:sz w:val="18"/>
          <w:szCs w:val="18"/>
          <w:color w:val="auto"/>
        </w:rPr>
        <w:t>. If any amount payable hereunder is not paid as and when due, each Obligor irrevocably authorizes the Purchasers to proceed, to the fullest extent permitted by Applicable Law, without prior notice, by right of set-off, counterclaim or otherwise, against any assets of such Obligor in any currency that may at any time be in the possession of the Purchaser Agent, any Purchaser or any of their respective Affiliates, to the full extent of all amounts payable to the Purchasers hereunder; provided, however, that the Purchaser Agent shall notify the Obligors of the exercise of such right promptly following such exercise.</w:t>
      </w:r>
    </w:p>
    <w:p>
      <w:pPr>
        <w:spacing w:after="0" w:line="75" w:lineRule="exact"/>
        <w:rPr>
          <w:rFonts w:ascii="Times New Roman" w:cs="Times New Roman" w:eastAsia="Times New Roman" w:hAnsi="Times New Roman"/>
          <w:sz w:val="18"/>
          <w:szCs w:val="18"/>
          <w:color w:val="auto"/>
        </w:rPr>
      </w:pPr>
    </w:p>
    <w:p>
      <w:pPr>
        <w:ind w:right="140" w:firstLine="436"/>
        <w:spacing w:after="0" w:line="282" w:lineRule="auto"/>
        <w:tabs>
          <w:tab w:leader="none" w:pos="69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Not Exclusive</w:t>
      </w:r>
      <w:r>
        <w:rPr>
          <w:rFonts w:ascii="Times New Roman" w:cs="Times New Roman" w:eastAsia="Times New Roman" w:hAnsi="Times New Roman"/>
          <w:sz w:val="18"/>
          <w:szCs w:val="18"/>
          <w:color w:val="auto"/>
        </w:rPr>
        <w:t>. The rights provided for herein are cumulative and are not exclusive of any other rights, powers, privileges or remedies provided by this Agreement or Applicable Law.</w:t>
      </w:r>
    </w:p>
    <w:p>
      <w:pPr>
        <w:spacing w:after="0" w:line="53" w:lineRule="exact"/>
        <w:rPr>
          <w:rFonts w:ascii="Times New Roman" w:cs="Times New Roman" w:eastAsia="Times New Roman" w:hAnsi="Times New Roman"/>
          <w:sz w:val="18"/>
          <w:szCs w:val="18"/>
          <w:color w:val="auto"/>
        </w:rPr>
      </w:pPr>
    </w:p>
    <w:p>
      <w:pPr>
        <w:ind w:firstLine="436"/>
        <w:spacing w:after="0" w:line="258" w:lineRule="auto"/>
        <w:tabs>
          <w:tab w:leader="none" w:pos="68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of Purchaser Agent</w:t>
      </w:r>
      <w:r>
        <w:rPr>
          <w:rFonts w:ascii="Times New Roman" w:cs="Times New Roman" w:eastAsia="Times New Roman" w:hAnsi="Times New Roman"/>
          <w:sz w:val="18"/>
          <w:szCs w:val="18"/>
          <w:color w:val="auto"/>
        </w:rPr>
        <w:t>. In connection with the consummation of a repurchase of the Revenue Interests pursuant to the Put Option or the Call Option, the Purchaser Agent agrees that it will, at the sole cost and expense of the Obligors, after each Purchaser has received payment in full of its Pro Rata Portion of the Put/Call Price, execute and deliver to the Obligors such UCC termination statements and other documents, and take such other actions, as may be necessary and reasonably requested by the Obligors to release (or evidence the release of) the Purchaser Agent’s Lien on the Collateral and otherwise give effect to such repurchase.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5.08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one of the following shall constitute an event of default (an “Event of Default”) under this Agreement:</w:t>
      </w:r>
    </w:p>
    <w:p>
      <w:pPr>
        <w:spacing w:after="0" w:line="117" w:lineRule="exact"/>
        <w:rPr>
          <w:sz w:val="20"/>
          <w:szCs w:val="20"/>
          <w:color w:val="auto"/>
        </w:rPr>
      </w:pPr>
    </w:p>
    <w:p>
      <w:pPr>
        <w:ind w:right="140" w:firstLine="436"/>
        <w:spacing w:after="0" w:line="266" w:lineRule="auto"/>
        <w:tabs>
          <w:tab w:leader="none" w:pos="68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fails to make: (i) any payment of the Put/Call Price when due, or (ii) any other payment when due under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or under the other Transaction Documents; provided, with respect to this clause (ii), that no more than one time in any twelve consecutive month period, such failure shall not constitute a Put Option Event if the Company makes such payment within three Business Days of the applicable due date.</w:t>
      </w:r>
    </w:p>
    <w:p>
      <w:pPr>
        <w:spacing w:after="0" w:line="67" w:lineRule="exact"/>
        <w:rPr>
          <w:rFonts w:ascii="Times New Roman" w:cs="Times New Roman" w:eastAsia="Times New Roman" w:hAnsi="Times New Roman"/>
          <w:sz w:val="18"/>
          <w:szCs w:val="18"/>
          <w:color w:val="auto"/>
        </w:rPr>
      </w:pPr>
    </w:p>
    <w:p>
      <w:pPr>
        <w:ind w:right="220" w:firstLine="436"/>
        <w:spacing w:after="0" w:line="266" w:lineRule="auto"/>
        <w:tabs>
          <w:tab w:leader="none" w:pos="69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Company or any Subsidiary breaches any term, covenant or agreement in any Transaction Document (other than a breach of this Agreement under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which such breach, if capable of cure, is not cured within ten (10) Business Days of the occurrence thereof, or (ii) the Company or any Subsidiary breaches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of this Agreement.</w:t>
      </w:r>
    </w:p>
    <w:p>
      <w:pPr>
        <w:spacing w:after="0" w:line="67"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Bankruptcy Event.</w:t>
      </w:r>
    </w:p>
    <w:p>
      <w:pPr>
        <w:spacing w:after="0" w:line="117" w:lineRule="exact"/>
        <w:rPr>
          <w:rFonts w:ascii="Times New Roman" w:cs="Times New Roman" w:eastAsia="Times New Roman" w:hAnsi="Times New Roman"/>
          <w:sz w:val="18"/>
          <w:szCs w:val="18"/>
          <w:color w:val="auto"/>
        </w:rPr>
      </w:pPr>
    </w:p>
    <w:p>
      <w:pPr>
        <w:ind w:right="40" w:firstLine="436"/>
        <w:spacing w:after="0" w:line="258" w:lineRule="auto"/>
        <w:tabs>
          <w:tab w:leader="none" w:pos="69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default in any agreement to which the Company or any of its Subsidiaries is a party with any Third Party that could entitle or permit such Third Party, after the giving of notice or the expiration of any applicable grace periods, to accelerate the maturity of any Indebtedness in an aggregate amount in excess of (X) prior to the Milestone, $5,000,000 and (Y) from and after the occurrence of the Milestone, $10,000,000 (in either case, even if such Third Party is restricted from accelerating the maturity of such Indebtedness, including pursuant to the terms of a subordination or other similar agreement).</w:t>
      </w:r>
    </w:p>
    <w:p>
      <w:pPr>
        <w:spacing w:after="0" w:line="75" w:lineRule="exact"/>
        <w:rPr>
          <w:rFonts w:ascii="Times New Roman" w:cs="Times New Roman" w:eastAsia="Times New Roman" w:hAnsi="Times New Roman"/>
          <w:sz w:val="18"/>
          <w:szCs w:val="18"/>
          <w:color w:val="auto"/>
        </w:rPr>
      </w:pPr>
    </w:p>
    <w:p>
      <w:pPr>
        <w:ind w:right="700" w:firstLine="436"/>
        <w:spacing w:after="0" w:line="266" w:lineRule="auto"/>
        <w:tabs>
          <w:tab w:leader="none" w:pos="68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or breach occurs under any subordination, intercreditor or other similar agreement with respect to any Existing Stockholder Indebtedness. For the avoidance of doubt, material defaults or breaches for the purposes of this clause (e) shall include breaches of payment, enforcement and subordination provisions or restrictions.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80"/>
          </w:cols>
          <w:pgMar w:left="440" w:top="270" w:right="479" w:bottom="1440" w:gutter="0" w:footer="0" w:header="0"/>
        </w:sectPr>
      </w:pPr>
    </w:p>
    <w:bookmarkStart w:id="82" w:name="page83"/>
    <w:bookmarkEnd w:id="82"/>
    <w:p>
      <w:pPr>
        <w:ind w:right="20" w:firstLine="436"/>
        <w:spacing w:after="0" w:line="258" w:lineRule="auto"/>
        <w:tabs>
          <w:tab w:leader="none" w:pos="66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Permitted Convertible Notes, Existing Stockholder Indebtedness or Subordinated Debt is outstanding at such time, the earlier of (i) 91 days prior to the maturity date of such Permitted Convertible Notes or Existing Stockholder Indebtedness, as applicable, and (ii) the occurrence of any “fundamental change,” “event of default” or similar event under the terms of such Permitted Convertible Notes or Existing Stockholder Indebtedness, as applicable, giving the holders thereof the right to require the repurchase of, or to accelerate, such Permitted Convertibles Notes or Existing Stockholder Indebtedness.</w:t>
      </w:r>
    </w:p>
    <w:p>
      <w:pPr>
        <w:spacing w:after="0" w:line="75"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One or more judgments, orders, or awards (or any settlement of any claim that, if breached, could result in a judgment, order or award) for the payment of money in an amount, individually or in the aggregate, of at least (i) $5,000,000 prior to the Milestone and (ii) $10,000,000 from and after the occurrence of the Milestone shall be rendered against the Company or any of its Subsidiaries and shall remain unsatisfied, unvacated or unstayed for a period of thirty (30) days after the entry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judgment, order, award or settlement shall not give rise to a Put Option Event under this Section if and for so long as (A) the amount of such judgment, order, award or settlement is covered by a valid and binding policy of insurance between the defendant and the insurer covering full payment thereof and (B) such insurer has been notified, and has not disputed the claim made for payment, of the amount of such judgment, order, award or settlement.</w:t>
      </w:r>
    </w:p>
    <w:p>
      <w:pPr>
        <w:spacing w:after="0" w:line="80"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warranty or statement made or deemed made by or on behalf of any Obligor in any Transaction Document or any amendment or modification hereof or thereof, or in any report, certificate, financial statement or other document furnished pursuant to or in connection with any Transaction Document or any amendment or modification hereof or thereof, shall: (i) prove to have been incorrect when made or deemed made to the extent that such representation, warranty or statement contains any materiality or Material Adverse Effect qualifier; or (ii) prove to have been incorrect in any material respect when made or deemed made to the extent that such representation, warranty or statement does not otherwise contain any materiality or Material Adverse Effect qualifier.</w:t>
      </w:r>
    </w:p>
    <w:p>
      <w:pPr>
        <w:spacing w:after="0" w:line="79" w:lineRule="exact"/>
        <w:rPr>
          <w:rFonts w:ascii="Times New Roman" w:cs="Times New Roman" w:eastAsia="Times New Roman" w:hAnsi="Times New Roman"/>
          <w:sz w:val="18"/>
          <w:szCs w:val="18"/>
          <w:color w:val="auto"/>
        </w:rPr>
      </w:pPr>
    </w:p>
    <w:p>
      <w:pPr>
        <w:ind w:firstLine="436"/>
        <w:spacing w:after="0" w:line="273" w:lineRule="auto"/>
        <w:tabs>
          <w:tab w:leader="none" w:pos="655"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material provision of any Transaction Document shall for any reason cease to be valid and binding on or enforceable against any Obligor, or any Obligor shall so state in writing or bring an action to limit its obligations or liabilities thereunder; or the Security Agreement, the Control Agreements or any other Transaction Document, which purports to create a validly perfected security interest, shall for any reason (other than pursuant to the terms thereof) cease to create a valid security interest in any material portion of the Collateral purported to be covered thereby or such security interest shall for any reason (other than pursuant to the terms of the Transaction Documents) cease to be a perfected and first priority security interest in any material portion of the Collateral subject thereto, subject only to Permitted Liens, in each case, other than as a direct result of any action by the Purchaser Agent or the Purchasers or failure of the Purchaser Agent or any Purchaser to perform an obligation thereof under the Transaction Documents.</w:t>
      </w:r>
    </w:p>
    <w:p>
      <w:pPr>
        <w:spacing w:after="0" w:line="63" w:lineRule="exact"/>
        <w:rPr>
          <w:rFonts w:ascii="Times New Roman" w:cs="Times New Roman" w:eastAsia="Times New Roman" w:hAnsi="Times New Roman"/>
          <w:sz w:val="17"/>
          <w:szCs w:val="17"/>
          <w:color w:val="auto"/>
        </w:rPr>
      </w:pPr>
    </w:p>
    <w:p>
      <w:pPr>
        <w:ind w:right="100" w:firstLine="436"/>
        <w:spacing w:after="0" w:line="282" w:lineRule="auto"/>
        <w:tabs>
          <w:tab w:leader="none" w:pos="65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fail to issue and deliver, and consummate the sale by the Company and the purchase by the Purchasers of, the Shares upon the exercise by the Purchasers of the Share Purchase Option in accordance with the Option Agreement.</w:t>
      </w:r>
    </w:p>
    <w:p>
      <w:pPr>
        <w:spacing w:after="0" w:line="53" w:lineRule="exact"/>
        <w:rPr>
          <w:rFonts w:ascii="Times New Roman" w:cs="Times New Roman" w:eastAsia="Times New Roman" w:hAnsi="Times New Roman"/>
          <w:sz w:val="18"/>
          <w:szCs w:val="18"/>
          <w:color w:val="auto"/>
        </w:rPr>
      </w:pPr>
    </w:p>
    <w:p>
      <w:pPr>
        <w:ind w:right="60" w:firstLine="436"/>
        <w:spacing w:after="0" w:line="256" w:lineRule="auto"/>
        <w:tabs>
          <w:tab w:leader="none" w:pos="69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common stock ceases to be listed or admitted for trading on the Nasdaq Capital Market, the Nasdaq Global Select Market, the Nasdaq Global Market or the New York Stock Exchange (or any nationally recognized securities exchange that is a successor to any of the foregoing) and, solely in the case of a voluntary delisting of the Company’s common stock that is not effected as a result of the failure, or expected failure, to meet applicable listing criteria, the Company’s common stock continues to not be so listed or admitted for longer than fifteen (15) consecutive Business Days from the occurrence thereof (it being agreed that if the Company’s common stock is no longer so listed or admitted for any other reason, an immediate Event of Default shall occur).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440" w:top="270" w:right="459" w:bottom="1440" w:gutter="0" w:footer="0" w:header="0"/>
        </w:sectPr>
      </w:pPr>
    </w:p>
    <w:bookmarkStart w:id="83" w:name="page84"/>
    <w:bookmarkEnd w:id="83"/>
    <w:p>
      <w:pPr>
        <w:ind w:right="20" w:firstLine="436"/>
        <w:spacing w:after="0" w:line="258" w:lineRule="auto"/>
        <w:tabs>
          <w:tab w:leader="none" w:pos="65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Following the receipt of Regulatory Approval to Commercialize or Develop Anktiva, (i) the loss of Regulatory Approval to Commercialize or Develop Anktiva (whether voluntary or involuntary), or (ii) the receipt by the Company or any Subsidiary of the Company of any written notice from the FDA or any other Regulatory Authority of pending recommendation or final decision to withdraw Regulatory Approval to Commercialize or Develop Anktiva, in each case, with respect to the United States, which withdrawal or removal will last, or is reasonably expected to last, more than one hundred eighty (180) days.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5.09 </w:t>
      </w:r>
      <w:r>
        <w:rPr>
          <w:rFonts w:ascii="Times New Roman" w:cs="Times New Roman" w:eastAsia="Times New Roman" w:hAnsi="Times New Roman"/>
          <w:sz w:val="18"/>
          <w:szCs w:val="18"/>
          <w:u w:val="single" w:color="auto"/>
          <w:color w:val="auto"/>
        </w:rPr>
        <w:t>Intellectual Property; Regulatory Approvals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36"/>
        <w:spacing w:after="0" w:line="270" w:lineRule="auto"/>
        <w:tabs>
          <w:tab w:leader="none" w:pos="685"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Obligor shall, at its sole expense, either directly or by causing any Subsidiary to do so, use commercially reasonable efforts (including taking legal action to specifically enforce the applicable terms of any License Agreement) to prepare, execute, deliver and file any and all agreements, documents or instruments which are necessary to diligently prosecute and maintain the Material Patents with the intent to protect the Included Products. Each Obligor shall, at its sole expense without any reduction in the Revenue Interests, either directly or by causing a Subsidiary to do so, use commercially reasonable efforts to diligently defend or assert all Product Intellectual Property against infringement or interference by any other Persons, and against any claims of invalidity or unenforceability (including, without limitation, by bringing any legal action for infringement or defending any claim of invalidity or action of a Third Party for declaratory judgment of non-infringement or non-enforceability), except where the failure to do so would not reasonably be expected to result in a Material Adverse Effect. The Obligors shall not, shall cause its Subsidiaries not to, and shall use their commercially reasonable efforts to cause any Licensee not to, disclaim or abandon, or fail to take any action necessary to prevent the disclaimer or abandonment of, the Material Patents, except where the failure to do so would not reasonably be expected to result in a Material Adverse Effect.</w:t>
      </w:r>
    </w:p>
    <w:p>
      <w:pPr>
        <w:spacing w:after="0" w:line="68" w:lineRule="exact"/>
        <w:rPr>
          <w:rFonts w:ascii="Times New Roman" w:cs="Times New Roman" w:eastAsia="Times New Roman" w:hAnsi="Times New Roman"/>
          <w:sz w:val="17"/>
          <w:szCs w:val="17"/>
          <w:color w:val="auto"/>
        </w:rPr>
      </w:pPr>
    </w:p>
    <w:p>
      <w:pPr>
        <w:ind w:right="20" w:firstLine="436"/>
        <w:spacing w:after="0" w:line="258" w:lineRule="auto"/>
        <w:tabs>
          <w:tab w:leader="none" w:pos="69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Obligor becomes aware that the Development, use, Manufacture or Commercialization of any Included Product infringes or violates any Intellectual Property that is owned or controlled by a Third Party, such Obligor shall use commercially reasonable efforts to attempt to secure the right to use such Intellectual Property on behalf of itself and any affected Licensee, as applicable, except where the failure to do so would not reasonably be expected to result in a Material Adverse Effect, and shall pay all reasonable costs and amounts associated with obtaining any such license, without any reduction in the Revenue Interests.</w:t>
      </w:r>
    </w:p>
    <w:p>
      <w:pPr>
        <w:spacing w:after="0" w:line="75" w:lineRule="exact"/>
        <w:rPr>
          <w:rFonts w:ascii="Times New Roman" w:cs="Times New Roman" w:eastAsia="Times New Roman" w:hAnsi="Times New Roman"/>
          <w:sz w:val="18"/>
          <w:szCs w:val="18"/>
          <w:color w:val="auto"/>
        </w:rPr>
      </w:pPr>
    </w:p>
    <w:p>
      <w:pPr>
        <w:ind w:firstLine="436"/>
        <w:spacing w:after="0" w:line="254" w:lineRule="auto"/>
        <w:tabs>
          <w:tab w:leader="none" w:pos="68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Obligor or Subsidiary recovers monetary damages from a Third Party in an action brought for such Third Party’s infringement of any Product Intellectual Property in connection with the exploitation of any product, therapy, or service that actually or prospectively competes with any Included Product or the market for such Included Product in the Covered Territory, where such damages (whether in the form of judgment or settlement) are awarded for loss of sales of such Included Product in the Covered Territory, then (i) such damages will be allocated first to the reimbursement of any expenses incurred by such Obligor or Subsidiary in bringing such action (including reasonable attorney’s fees) not already reimbursed from other damages awarded under the same action, (ii) any remaining amount of such damages will be reduced, if applicable, to comply with any required allocation of recovered damages with such Obligor’s or Subsidiary’s licensors or (sub)licensees, and (iii) any residual amount of such damages after application of clauses (i) and (ii) will be treated as Net Sales of the Included Products for purposes of calculating Revenue Interest Payments under this Agreement.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80"/>
          </w:cols>
          <w:pgMar w:left="440" w:top="270" w:right="479" w:bottom="1440" w:gutter="0" w:footer="0" w:header="0"/>
        </w:sectPr>
      </w:pPr>
    </w:p>
    <w:bookmarkStart w:id="84" w:name="page85"/>
    <w:bookmarkEnd w:id="84"/>
    <w:p>
      <w:pPr>
        <w:ind w:right="460" w:firstLine="436"/>
        <w:spacing w:after="0" w:line="266" w:lineRule="auto"/>
        <w:tabs>
          <w:tab w:leader="none" w:pos="69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Obligor shall directly, or through an Affiliate or Licensee, take any and all actions and prepare, execute, deliver and file any and all agreements, documents or instruments to secure and maintain, all applicable Regulatory Approvals, except where the failure to do so would not reasonably be expected to result in a Material Adverse Effect.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5.10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shall use the proceeds of the Purchaser Payments solely as working capital, for general corporate purposes and to fund its general business requirements (including, but not limited to, progressing regulatory approval efforts, pre-commercialization activities and clinical development programs, funding other research and development activities and for capital expenditures) in accordance with the provisions of this Agreement, and not for personal, family, household or agricultural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5.11 </w:t>
      </w:r>
      <w:r>
        <w:rPr>
          <w:rFonts w:ascii="Times New Roman" w:cs="Times New Roman" w:eastAsia="Times New Roman" w:hAnsi="Times New Roman"/>
          <w:sz w:val="18"/>
          <w:szCs w:val="18"/>
          <w:u w:val="single" w:color="auto"/>
          <w:color w:val="auto"/>
        </w:rPr>
        <w:t>Protective Covenants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680" w:hanging="244"/>
        <w:spacing w:after="0"/>
        <w:tabs>
          <w:tab w:leader="none" w:pos="6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Obligor nor any of their Subsidiaries shall, without the prior written consent of the Purchaser Agent:</w:t>
      </w:r>
    </w:p>
    <w:p>
      <w:pPr>
        <w:spacing w:after="0" w:line="117" w:lineRule="exact"/>
        <w:rPr>
          <w:rFonts w:ascii="Times New Roman" w:cs="Times New Roman" w:eastAsia="Times New Roman" w:hAnsi="Times New Roman"/>
          <w:sz w:val="18"/>
          <w:szCs w:val="18"/>
          <w:color w:val="auto"/>
        </w:rPr>
      </w:pPr>
    </w:p>
    <w:p>
      <w:pPr>
        <w:ind w:left="440" w:right="440" w:firstLine="419"/>
        <w:spacing w:after="0" w:line="276" w:lineRule="auto"/>
        <w:tabs>
          <w:tab w:leader="none" w:pos="1078"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forgive, release or compromise any amount owed to such Obligor or Subsidiary and relating to the Revenue Interests, other than the forgiveness, release or compromise in connection with the collection, settlement or compromise thereof in the ordinary course of business;</w:t>
      </w:r>
    </w:p>
    <w:p>
      <w:pPr>
        <w:ind w:left="440" w:right="440" w:firstLine="419"/>
        <w:spacing w:after="0" w:line="260" w:lineRule="auto"/>
        <w:tabs>
          <w:tab w:leader="none" w:pos="1128"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any Anktiva Collateral (as defined in the Security Agreement) at any location leased under the Dunkirk Lease, or conduct any Development, Manufacture and/or Commercialization of Anktiva at any location leased under the Dunkirk Lease;</w:t>
      </w:r>
    </w:p>
    <w:p>
      <w:pPr>
        <w:spacing w:after="0" w:line="73"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incur, assume or suffer to exist any Indebtedness, except for Permitted Indebtedness;</w:t>
      </w:r>
    </w:p>
    <w:p>
      <w:pPr>
        <w:spacing w:after="0" w:line="27" w:lineRule="exact"/>
        <w:rPr>
          <w:rFonts w:ascii="Times New Roman" w:cs="Times New Roman" w:eastAsia="Times New Roman" w:hAnsi="Times New Roman"/>
          <w:sz w:val="18"/>
          <w:szCs w:val="18"/>
          <w:color w:val="auto"/>
        </w:rPr>
      </w:pPr>
    </w:p>
    <w:p>
      <w:pPr>
        <w:ind w:left="440" w:right="180" w:firstLine="419"/>
        <w:spacing w:after="0" w:line="260" w:lineRule="auto"/>
        <w:tabs>
          <w:tab w:leader="none" w:pos="1168"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incur, assume or suffer to exist any Lien upon any of its property or assets of any kind (real or personal, tangible or intangible), except for Permitted Liens;</w:t>
      </w:r>
    </w:p>
    <w:p>
      <w:pPr>
        <w:spacing w:after="0" w:line="73" w:lineRule="exact"/>
        <w:rPr>
          <w:rFonts w:ascii="Times New Roman" w:cs="Times New Roman" w:eastAsia="Times New Roman" w:hAnsi="Times New Roman"/>
          <w:sz w:val="18"/>
          <w:szCs w:val="18"/>
          <w:color w:val="auto"/>
        </w:rPr>
      </w:pPr>
    </w:p>
    <w:p>
      <w:pPr>
        <w:ind w:left="440" w:right="960" w:firstLine="419"/>
        <w:spacing w:after="0" w:line="282" w:lineRule="auto"/>
        <w:tabs>
          <w:tab w:leader="none" w:pos="1118"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permit to exist any Investment, except for Permitted Investments, or make any Investment after the Closing Date in AccessBioScience, LLC;</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make, directly or indirectly, any Restricted Payment, or incur any obligation (contingent or otherwise) to do so, except that</w:t>
      </w:r>
    </w:p>
    <w:p>
      <w:pPr>
        <w:spacing w:after="0" w:line="27" w:lineRule="exact"/>
        <w:rPr>
          <w:rFonts w:ascii="Times New Roman" w:cs="Times New Roman" w:eastAsia="Times New Roman" w:hAnsi="Times New Roman"/>
          <w:sz w:val="18"/>
          <w:szCs w:val="18"/>
          <w:color w:val="auto"/>
        </w:rPr>
      </w:pPr>
    </w:p>
    <w:p>
      <w:pPr>
        <w:ind w:left="4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each Subsidiary may make Restricted Payments to holders of Equity Interests on a ratable basis, (B) the Company may declare and make dividend payments or other distributions payable solely in its Qualified Equity Interests, (C) the Company may make repurchases of Equity Interests to the extent deemed to occur upon the withholding of a portion of the Equity Interests granted or awarded to the holder thereof to pay for the taxes payable by such person upon such grant or award (or upon vesting, exercise or settlement thereof) or in connection with an equity award exchange or option repricing program approved by the Board with respect to compensatory Equity Interests held by any current or former officer, director, employee or consultant of the Company or any Subsidiary, (D) the Company may (i) pay cash in lieu of fractional shares of its Equity Interests in connection with issuance of Qualified Equity Interests of the Company pursuant to Permitted Acquisitions and (ii) pay cash in lieu of fractional shares upon the exercise of warrants, options or other securities convertible into or exercisable for Qualified Equity Interests of the Company, (E) the Company and its Subsidiaries may make Restricted Payments constituting Permitted Debt Payments, (F) the Company and its Subsidiaries may make Restricted Payments consisting of the repurchase, redemption or other</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0"/>
          </w:cols>
          <w:pgMar w:left="440" w:top="270" w:right="459" w:bottom="1440" w:gutter="0" w:footer="0" w:header="0"/>
        </w:sectPr>
      </w:pPr>
    </w:p>
    <w:bookmarkStart w:id="85" w:name="page86"/>
    <w:bookmarkEnd w:id="85"/>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acquisition or retirement for value of any Qualified Equity Interests of the Company held by any employee, director or consultant of the Company or any Subsidiary of the Company (other than any Permitted Holder) pursuant to any employee equity agreement, stock option agreement, stock ownership arrangement or other benefit plan upon the death, disability retirement or termination of employment of such employee, director, consultant or officer; provided, that the amount of Restricted Payments made pursuant to this clause (F) shall not exceed (i) $2,500,000 during any fiscal year prior to the Milestone and (ii) $10,000,000 during any fiscal year from and after the occurrence of the Milestone, (G) the Company may pay fees and expenses to Affiliates in respect of corporate, general and administrative and other support services provided pursuant to the Affiliate Agreements;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amounts paid by the Company pursuant to this clause (G) during any fiscal year, net of any payments received by Obligors from Affiliates that are not Subsidiaries during such fiscal year, shall not exceed (i) prior to the Milestone, $7,500,000 and</w:t>
      </w:r>
    </w:p>
    <w:p>
      <w:pPr>
        <w:spacing w:after="0" w:line="1" w:lineRule="exact"/>
        <w:rPr>
          <w:sz w:val="20"/>
          <w:szCs w:val="20"/>
          <w:color w:val="auto"/>
        </w:rPr>
      </w:pPr>
    </w:p>
    <w:p>
      <w:pPr>
        <w:ind w:left="4" w:right="300" w:hanging="4"/>
        <w:spacing w:after="0" w:line="250" w:lineRule="auto"/>
        <w:tabs>
          <w:tab w:leader="none" w:pos="26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occurrence of the Milestone, $20,000,000, (H) the purchase of Permitted Bond Hedging Agreements solely to the extent permitted under clause (n) of the definition of “Permitted Investments,” and any settlement, unwinding or termination of such Permitted Bond Hedging Agreements, whether according to their terms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any such settlement or termination shall not require any additional cash payments (on a net basis after taking into account any cash received in respect of a concurrent unwind of other Permitted Bond Hedging Agreements and excluding any cash in lieu of fractional shares) by the Company or any Subsidiary, and (I) so long as no Put Option Event has occurred and is continuing and the Existing Stockholder Indebtedness has been repaid in full or converted or exchanged for or into Qualified Equity Interests of the Company, in either</w:t>
      </w:r>
    </w:p>
    <w:p>
      <w:pPr>
        <w:spacing w:after="0" w:line="2" w:lineRule="exact"/>
        <w:rPr>
          <w:rFonts w:ascii="Times New Roman" w:cs="Times New Roman" w:eastAsia="Times New Roman" w:hAnsi="Times New Roman"/>
          <w:sz w:val="18"/>
          <w:szCs w:val="18"/>
          <w:color w:val="auto"/>
        </w:rPr>
      </w:pPr>
    </w:p>
    <w:p>
      <w:pPr>
        <w:jc w:val="both"/>
        <w:ind w:left="4" w:right="2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case in accordance with this Agreement, the Company and its Subsidiaries may make other Restricted Payments in an aggregate amount not to exceed, prior to the Milestone, $5,000,000 per fiscal year of the Company and, from and after the occurrence of the Milestone, $10,000,000 per fiscal year of the Company;</w:t>
      </w:r>
    </w:p>
    <w:p>
      <w:pPr>
        <w:spacing w:after="0" w:line="77" w:lineRule="exact"/>
        <w:rPr>
          <w:rFonts w:ascii="Times New Roman" w:cs="Times New Roman" w:eastAsia="Times New Roman" w:hAnsi="Times New Roman"/>
          <w:sz w:val="18"/>
          <w:szCs w:val="18"/>
          <w:color w:val="auto"/>
        </w:rPr>
      </w:pPr>
    </w:p>
    <w:p>
      <w:pPr>
        <w:jc w:val="both"/>
        <w:ind w:left="4" w:right="300" w:firstLine="419"/>
        <w:spacing w:after="0" w:line="261" w:lineRule="auto"/>
        <w:tabs>
          <w:tab w:leader="none" w:pos="781"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give any notice or make any election with respect thereto) any payment (including payments of interest) or prepayment or redemption, settlement or acquisition for value of (including without limitation, by way of depositing money or securities with the trustee with respect thereto before due for the purpose of paying when due), refund, refinance or exchange of any Indebtedness of the Obligors or any Subsidiary (other than the Indebtedness arising under the Transaction Documents and Permitted Debt Payments);</w:t>
      </w:r>
    </w:p>
    <w:p>
      <w:pPr>
        <w:spacing w:after="0" w:line="71" w:lineRule="exact"/>
        <w:rPr>
          <w:rFonts w:ascii="Times New Roman" w:cs="Times New Roman" w:eastAsia="Times New Roman" w:hAnsi="Times New Roman"/>
          <w:sz w:val="18"/>
          <w:szCs w:val="18"/>
          <w:color w:val="auto"/>
        </w:rPr>
      </w:pPr>
    </w:p>
    <w:p>
      <w:pPr>
        <w:ind w:left="4" w:right="480" w:firstLine="419"/>
        <w:spacing w:after="0" w:line="312" w:lineRule="auto"/>
        <w:tabs>
          <w:tab w:leader="none" w:pos="831"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engage in any material line of business substantially different from those lines of business conducted by the Obligors and their Subsidiaries on the Closing Date or any business reasonably related, incidental, or complementary thereto or a reasonable extension thereof;</w:t>
      </w:r>
    </w:p>
    <w:p>
      <w:pPr>
        <w:spacing w:after="0" w:line="31" w:lineRule="exact"/>
        <w:rPr>
          <w:rFonts w:ascii="Times New Roman" w:cs="Times New Roman" w:eastAsia="Times New Roman" w:hAnsi="Times New Roman"/>
          <w:sz w:val="17"/>
          <w:szCs w:val="17"/>
          <w:color w:val="auto"/>
        </w:rPr>
      </w:pPr>
    </w:p>
    <w:p>
      <w:pPr>
        <w:ind w:left="4" w:right="80" w:firstLine="419"/>
        <w:spacing w:after="0" w:line="254" w:lineRule="auto"/>
        <w:tabs>
          <w:tab w:leader="none" w:pos="731"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change its Organization Documents in a manner materially adverse to the rights or remedies of the Purchaser Agent or the Purchasers under the Transaction Documents (other than in their capacity as a holder of Equity Interests or other rights under the Option Agreement, so long as any such amendment, modification or change does not disproportionately affect Purchaser Agent or the Purchasers in such capacity); (x) Transfer any Collateral, other than (A) Transfers of cash and Cash Equivalents, Transfers of inventory and/or the Transfer of obsolete, worn-out or surplus equipment, in each case in the ordinary course of business, (B) Permitted Liens, (C) Permitted Licenses,</w:t>
      </w:r>
    </w:p>
    <w:p>
      <w:pPr>
        <w:spacing w:after="0" w:line="3" w:lineRule="exact"/>
        <w:rPr>
          <w:rFonts w:ascii="Times New Roman" w:cs="Times New Roman" w:eastAsia="Times New Roman" w:hAnsi="Times New Roman"/>
          <w:sz w:val="18"/>
          <w:szCs w:val="18"/>
          <w:color w:val="auto"/>
        </w:rPr>
      </w:pPr>
    </w:p>
    <w:p>
      <w:pPr>
        <w:ind w:left="4"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Permitted Investments, (E) Transfers among Subsidiaries that are not Subsidiary Guarantors, (F) Transfers to an Obligor, provided that (X) in the case of a Transfer from an Obligor such Transfer does not impair the Liens of the Purchaser Agent in the Collateral subject to such Transfer and (Y) any Transfer from a Full Guarantor must be to the Company or a Full Guarantor, (G) Transfers to Subsidiaries that are not Subsidiary Guarantors so long as (X) no material Intellectual Property is</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564"/>
          </w:cols>
          <w:pgMar w:left="876" w:top="270" w:right="459" w:bottom="1440" w:gutter="0" w:footer="0" w:header="0"/>
        </w:sectPr>
      </w:pPr>
    </w:p>
    <w:bookmarkStart w:id="86" w:name="page87"/>
    <w:bookmarkEnd w:id="86"/>
    <w:p>
      <w:pPr>
        <w:ind w:left="4"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Transferred pursuant to this clause (G), (Y) the aggregate amount of such Transfers pursuant to this clause (G) does not exceed (I) prior to the Milestone, $5,000,000 and (II) from and after the occurrence of the Milestone, $10,000,000 and (Z) all Transfers pursuant to this clause (G) be made for fair market value and for consideration consisting solely of cash and Cash Equivalents, (H) Transfers of equipment in exchange for credit against the purchase price of similar replacement equipment or where the proceeds of such Transfer are promptly applied to the purchase of similar or replacement equipment, (I) any Transfer resulting from casualty, loss, condemnation, eminent domain, seizure, nationalization or other similar actions, (J) the surrender or waiver of obligations or rights pursuant to any plan of reorganization or similar arrangement upon the bankruptcy or insolvency of any credit or customer, (K) Transfers consisting of the sale or discount of receivables in the ordinary course of business in connection with the compromise or collection thereof, (L) to the extent constituting Transfers, Permitted Debt Payments, (M) to the extent constituting Transfers, Restricted Payments made in accordance with Section 5.11(a)(vi), (N) the unwinding or termination of hedging arrangements not prohibited hereunder, (O) the surrender, compromise, settlement, or release of contract, tort, or other litigation claims, arbitration, or other disputes, which, individually or in the aggregate, could not reasonably be expected to result in a Material Adverse Effect,</w:t>
      </w:r>
    </w:p>
    <w:p>
      <w:pPr>
        <w:spacing w:after="0" w:line="4" w:lineRule="exact"/>
        <w:rPr>
          <w:sz w:val="20"/>
          <w:szCs w:val="20"/>
          <w:color w:val="auto"/>
        </w:rPr>
      </w:pPr>
    </w:p>
    <w:p>
      <w:pPr>
        <w:jc w:val="both"/>
        <w:ind w:left="4" w:right="180" w:hanging="4"/>
        <w:spacing w:after="0" w:line="250" w:lineRule="auto"/>
        <w:tabs>
          <w:tab w:leader="none" w:pos="26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of investments in joint ventures to the extent required by, or made pursuant to customary buy/sell arrangements or rights of first refusal between, the joint venture parties set forth in joint venture arrangements or similar binding arrangements, (Q) the sale of disposition of nominal amounts of Qualified Equity Interests to where required under Applicable Law to qualify directors, and/or (R) to the extent constituting Transfers, termination of contracts in compliance with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724" w:hanging="301"/>
        <w:spacing w:after="0"/>
        <w:tabs>
          <w:tab w:leader="none" w:pos="724"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consummate any Restricted Licenses;</w:t>
      </w:r>
    </w:p>
    <w:p>
      <w:pPr>
        <w:spacing w:after="0" w:line="98" w:lineRule="exact"/>
        <w:rPr>
          <w:rFonts w:ascii="Times New Roman" w:cs="Times New Roman" w:eastAsia="Times New Roman" w:hAnsi="Times New Roman"/>
          <w:sz w:val="18"/>
          <w:szCs w:val="18"/>
          <w:color w:val="auto"/>
        </w:rPr>
      </w:pPr>
    </w:p>
    <w:p>
      <w:pPr>
        <w:ind w:left="784" w:hanging="361"/>
        <w:spacing w:after="0"/>
        <w:tabs>
          <w:tab w:leader="none" w:pos="784"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fiscal year end (other than, in the case of the Company or any Subsidiary, to conform to the Company’s fiscal year end); or</w:t>
      </w:r>
    </w:p>
    <w:p>
      <w:pPr>
        <w:spacing w:after="0" w:line="117" w:lineRule="exact"/>
        <w:rPr>
          <w:rFonts w:ascii="Times New Roman" w:cs="Times New Roman" w:eastAsia="Times New Roman" w:hAnsi="Times New Roman"/>
          <w:sz w:val="18"/>
          <w:szCs w:val="18"/>
          <w:color w:val="auto"/>
        </w:rPr>
      </w:pPr>
    </w:p>
    <w:p>
      <w:pPr>
        <w:ind w:left="4" w:right="140" w:firstLine="419"/>
        <w:spacing w:after="0" w:line="255" w:lineRule="auto"/>
        <w:tabs>
          <w:tab w:leader="none" w:pos="831"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directly or indirectly enter into or permit to exist any transaction or series of transactions with any Affiliate of the Company or any of its Subsidiaries with a fair market value in excess of $120,000, except for (a) the Affiliate Agreements; (b) transactions between or among Obligors and Subsidiaries;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except for Permitted Investments pursuant to clauses (c), (f)(v) and (f)(vi) of the definition thereof, Permitted Indebtedness pursuant to clauses (d), (e) and (o) of the definition thereof, Permitted Debt Payments pursuant to clauses (e) and</w:t>
      </w:r>
    </w:p>
    <w:p>
      <w:pPr>
        <w:spacing w:after="0" w:line="2" w:lineRule="exact"/>
        <w:rPr>
          <w:rFonts w:ascii="Times New Roman" w:cs="Times New Roman" w:eastAsia="Times New Roman" w:hAnsi="Times New Roman"/>
          <w:sz w:val="18"/>
          <w:szCs w:val="18"/>
          <w:color w:val="auto"/>
        </w:rPr>
      </w:pPr>
    </w:p>
    <w:p>
      <w:pPr>
        <w:ind w:left="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 thereof, and Restricted Payments permitted pursuant to </w:t>
      </w:r>
      <w:r>
        <w:rPr>
          <w:rFonts w:ascii="Times New Roman" w:cs="Times New Roman" w:eastAsia="Times New Roman" w:hAnsi="Times New Roman"/>
          <w:sz w:val="18"/>
          <w:szCs w:val="18"/>
          <w:u w:val="single" w:color="auto"/>
          <w:color w:val="auto"/>
        </w:rPr>
        <w:t>Section 5.11(a)(vi)(A)</w:t>
      </w:r>
      <w:r>
        <w:rPr>
          <w:rFonts w:ascii="Times New Roman" w:cs="Times New Roman" w:eastAsia="Times New Roman" w:hAnsi="Times New Roman"/>
          <w:sz w:val="18"/>
          <w:szCs w:val="18"/>
          <w:color w:val="auto"/>
        </w:rPr>
        <w:t xml:space="preserve">, any transactions with Subsidiaries that are not Obligors are in the ordinary course of the Company’s and the applicable Subsidiary’s (or Subsidiaries’) business, upon fair, customary and reasonable terms that are no less favorable to the Obligors than would be obtained in an arm’s length transaction with a nonaffiliated Person; (c) customary compensation, service, severance and indemnification of, and other employment arrangements with, directors and officers of the Company and its Subsidiaries, and reimbursements of expenses of current or former directors and officers, in each case in the ordinary course of business, upon fair, customary and reasonable terms that, with respect to any such arrangements with Affiliates of the Company or any Subsidiary, are no less favorable to the Company and its Subsidiaries than would be obtained in an arm’s length transaction with a non-affiliated Person; (d) the issuance of Equity Interests of the Company to Affiliates in exchange for cash;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terms of such transaction are no less favorable to the Company than those that would be obtained in a comparable arm’s length transaction with a Person that is not an Affiliate; (e) any transaction expressly permitted by </w:t>
      </w:r>
      <w:r>
        <w:rPr>
          <w:rFonts w:ascii="Times New Roman" w:cs="Times New Roman" w:eastAsia="Times New Roman" w:hAnsi="Times New Roman"/>
          <w:sz w:val="18"/>
          <w:szCs w:val="18"/>
          <w:u w:val="single" w:color="auto"/>
          <w:color w:val="auto"/>
        </w:rPr>
        <w:t>Section 5.11(a)(vi)(C)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5.11(a)(vi)(E)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5.11(a)(vi)(F)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5.11(a)(x)(Q)</w:t>
      </w:r>
      <w:r>
        <w:rPr>
          <w:rFonts w:ascii="Times New Roman" w:cs="Times New Roman" w:eastAsia="Times New Roman" w:hAnsi="Times New Roman"/>
          <w:sz w:val="18"/>
          <w:szCs w:val="18"/>
          <w:color w:val="auto"/>
        </w:rPr>
        <w:t>, clauses (b), (e), (n), (o),</w:t>
      </w:r>
    </w:p>
    <w:p>
      <w:pPr>
        <w:spacing w:after="0" w:line="3" w:lineRule="exact"/>
        <w:rPr>
          <w:rFonts w:ascii="Times New Roman" w:cs="Times New Roman" w:eastAsia="Times New Roman" w:hAnsi="Times New Roman"/>
          <w:sz w:val="18"/>
          <w:szCs w:val="18"/>
          <w:color w:val="auto"/>
        </w:rPr>
      </w:pPr>
    </w:p>
    <w:p>
      <w:pPr>
        <w:ind w:left="4" w:right="2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 and (s) of the definition of “Permitted Indebtedness”, and clause (c) of the definition of “Permitted Investments”; (f) transactions that do not involve Investments, License Agreements, Restricted Payments or</w:t>
      </w:r>
    </w:p>
    <w:p>
      <w:pPr>
        <w:spacing w:after="0" w:line="11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564"/>
          </w:cols>
          <w:pgMar w:left="876" w:top="270" w:right="459" w:bottom="1440" w:gutter="0" w:footer="0" w:header="0"/>
        </w:sectPr>
      </w:pPr>
    </w:p>
    <w:bookmarkStart w:id="87" w:name="page88"/>
    <w:bookmarkEnd w:id="87"/>
    <w:p>
      <w:pPr>
        <w:ind w:left="440" w:right="10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Transfers and that are made (i) in the ordinary course of the Company’s and the applicable Subsidiary’s (or Subsidiaries’) business, upon fair, customary and reasonable terms that are no less favorable to the Obligors than would be obtained in an arm’s length transaction with a nonaffiliated Person and (ii) approved by the Related Party Transaction Committee of the Company’s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consideration paid by the Company and its Subsidiaries during any fiscal year in connection with transactions entered into under this clause (f), net of any payments received from Affiliates that are not Subsidiaries in connection with such transactions during such fiscal year, shall not exceed (X) prior to the Milestone, $5,000,000 and (Y) from and after the occurrence of the Milestone, $10,000,000; (g) the payment of reasonable out-of-pocket costs and expenses relating to registration rights and indemnities provided to holders of Equity Interests of the Company pursuant to any stockholders’ agreement or registration and participation rights agreement and (h) agreements existing on the Closing Date and listed on </w:t>
      </w:r>
      <w:r>
        <w:rPr>
          <w:rFonts w:ascii="Times New Roman" w:cs="Times New Roman" w:eastAsia="Times New Roman" w:hAnsi="Times New Roman"/>
          <w:sz w:val="18"/>
          <w:szCs w:val="18"/>
          <w:u w:val="single" w:color="auto"/>
          <w:color w:val="auto"/>
        </w:rPr>
        <w:t>Schedule 5.11(a)(xiii)</w:t>
      </w:r>
    </w:p>
    <w:p>
      <w:pPr>
        <w:spacing w:after="0" w:line="1" w:lineRule="exact"/>
        <w:rPr>
          <w:sz w:val="20"/>
          <w:szCs w:val="20"/>
          <w:color w:val="auto"/>
        </w:rPr>
      </w:pPr>
    </w:p>
    <w:p>
      <w:pPr>
        <w:ind w:left="700" w:hanging="264"/>
        <w:spacing w:after="0"/>
        <w:tabs>
          <w:tab w:leader="none" w:pos="700" w:val="left"/>
        </w:tabs>
        <w:numPr>
          <w:ilvl w:val="0"/>
          <w:numId w:val="11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to the Disclosure Letter.</w:t>
      </w:r>
    </w:p>
    <w:p>
      <w:pPr>
        <w:spacing w:after="0" w:line="99" w:lineRule="exact"/>
        <w:rPr>
          <w:sz w:val="20"/>
          <w:szCs w:val="20"/>
          <w:color w:val="auto"/>
        </w:rPr>
      </w:pPr>
    </w:p>
    <w:p>
      <w:pPr>
        <w:ind w:right="180" w:firstLine="436"/>
        <w:spacing w:after="0" w:line="266" w:lineRule="auto"/>
        <w:tabs>
          <w:tab w:leader="none" w:pos="69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Obligor may take any action or engage in any transaction (or series of actions or transactions), whether by reorganization, Transfer of assets, merger, dissolution, amendment of organizational documents or otherwise, the primary purpose of which is to evade, avoid or seek to avoid the performance or observance of the covenants, agreements or obligations of the Obligors under the Transaction Documents.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5.12 </w:t>
      </w:r>
      <w:r>
        <w:rPr>
          <w:rFonts w:ascii="Times New Roman" w:cs="Times New Roman" w:eastAsia="Times New Roman" w:hAnsi="Times New Roman"/>
          <w:sz w:val="18"/>
          <w:szCs w:val="18"/>
          <w:u w:val="single" w:color="auto"/>
          <w:color w:val="auto"/>
        </w:rPr>
        <w:t>Taxes.</w:t>
      </w:r>
    </w:p>
    <w:p>
      <w:pPr>
        <w:spacing w:after="0" w:line="121" w:lineRule="exact"/>
        <w:rPr>
          <w:sz w:val="20"/>
          <w:szCs w:val="20"/>
          <w:color w:val="auto"/>
        </w:rPr>
      </w:pPr>
    </w:p>
    <w:p>
      <w:pPr>
        <w:ind w:right="360" w:firstLine="436"/>
        <w:spacing w:after="0" w:line="282" w:lineRule="auto"/>
        <w:tabs>
          <w:tab w:leader="none" w:pos="68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shall timely file (taking into account all extensions of due dates) all income and all other material Tax Returns required to be filed by it and will pay all material Taxes required to be paid with such returns.</w:t>
      </w:r>
    </w:p>
    <w:p>
      <w:pPr>
        <w:spacing w:after="0" w:line="53"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Agent, each Purchaser and each Obligor agree that (a) the transactions contemplated by this agreement are intended to constitute and shall be treated by the parties as a debt instrument for U.S. federal and applicable state and local income tax purposes and (b) the payments of interest under such debt instrument are intended to qualify as “portfolio interest” within the meaning of Section 871(h)(2) of the Code (provided that the requirements of Sections 871(h)(3), 871(h)(5), 881(c)(3) and 881(c)(5) of the Code, as applicable, are satisfied) or to be eligible for the benefits of Section 1 of Article 11 of the income tax treaty between the United States and Ireland. None of the Purchasers nor any Obligor shall take any Tax position inconsistent with the foregoing unless otherwise required by a determination within the meaning of Section 1313(a) of the Code.</w:t>
      </w:r>
    </w:p>
    <w:p>
      <w:pPr>
        <w:spacing w:after="0" w:line="79"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right="40" w:firstLine="436"/>
        <w:spacing w:after="0" w:line="256" w:lineRule="auto"/>
        <w:tabs>
          <w:tab w:leader="none" w:pos="69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(or the date that any Purchaser acquires an interest in the Obligations or Purchaser Commitment), each Purchaser shall deliver to the Company a duly completed and valid IRS Form W-9 certifying that such Purchaser is a United States person and exempt from U.S. federal backup withholding (the “</w:t>
      </w:r>
      <w:r>
        <w:rPr>
          <w:rFonts w:ascii="Times New Roman" w:cs="Times New Roman" w:eastAsia="Times New Roman" w:hAnsi="Times New Roman"/>
          <w:sz w:val="18"/>
          <w:szCs w:val="18"/>
          <w:u w:val="single" w:color="auto"/>
          <w:color w:val="auto"/>
        </w:rPr>
        <w:t>IRS Withholding Form</w:t>
      </w:r>
      <w:r>
        <w:rPr>
          <w:rFonts w:ascii="Times New Roman" w:cs="Times New Roman" w:eastAsia="Times New Roman" w:hAnsi="Times New Roman"/>
          <w:sz w:val="18"/>
          <w:szCs w:val="18"/>
          <w:color w:val="auto"/>
        </w:rPr>
        <w:t>”), and each Purchaser shall provide an updated IRS Withholding Form to the Company throughout the Revenue Interest Period whenever required in order for the Company to have on file a duly completed and valid IRS Withholding Form. Each Purchaser represents that it is not participating in a “conduit financing arrangement” within the meaning of Treasury regulation section 1.881-3 with respect to the Obligations or Purchaser Commitments.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70" w:right="459" w:bottom="1440" w:gutter="0" w:footer="0" w:header="0"/>
        </w:sectPr>
      </w:pPr>
    </w:p>
    <w:bookmarkStart w:id="88" w:name="page89"/>
    <w:bookmarkEnd w:id="88"/>
    <w:p>
      <w:pPr>
        <w:ind w:right="20" w:firstLine="436"/>
        <w:spacing w:after="0" w:line="268" w:lineRule="auto"/>
        <w:tabs>
          <w:tab w:leader="none" w:pos="685"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Obligors covenant to each Purchaser that all amounts payable hereunder shall be paid by the Obligors without deduction or withholding for any Taxes, except as required pursuant to any Applicable Law. If any Applicable Law (as determined in the good faith discretion of an applicable withholding agent) requires the deduction or withholding of any Tax from any payment in respect of this Agreement by a withholding agent (including a Purchaser), then the applicable withholding agent shall be entitled to make such deduction or withholding and shall timely pay the full amount deducted or withheld to the relevant Governmental Authority in accordance with Applicable Law, and, if such Tax is not an Excluded Tax, then the sum payable by Obligors to Purchasers shall be increased as necessary so that after such deduction or withholding has been made (including any such deduction and withholding by a Purchaser as a withholding agent and such deductions and withholdings applicable to additional sums payable under this</w:t>
      </w:r>
    </w:p>
    <w:p>
      <w:pPr>
        <w:spacing w:after="0" w:line="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5.12(e)) the Purchasers receive an amount equal to what they would have received had no deduction or withholding been made.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5.13 </w:t>
      </w:r>
      <w:r>
        <w:rPr>
          <w:rFonts w:ascii="Times New Roman" w:cs="Times New Roman" w:eastAsia="Times New Roman" w:hAnsi="Times New Roman"/>
          <w:sz w:val="18"/>
          <w:szCs w:val="18"/>
          <w:u w:val="single" w:color="auto"/>
          <w:color w:val="auto"/>
        </w:rPr>
        <w:t>Material Contracts.</w:t>
      </w:r>
    </w:p>
    <w:p>
      <w:pPr>
        <w:spacing w:after="0" w:line="229"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Each Obligor and its Subsidiaries shall comply with all material terms and conditions of and fulfill all of its obligations under all the Material Contracts. No Obligor nor any of their respective Subsidiaries shall, without the prior consent of the Purchaser Agent, which shall not be unreasonably withheld, conditioned or delayed, enter into any material amendment or waiver to or material modification of any Material Contract, or take or omit to take any action that results in the termination of any Material Contract or that permits a Material Contract to be terminated by any counterparty thereto prior to its stated date of expiration, in either case that could reasonably be expected to (i) result in a Material Adverse Effect or (ii) have any adverse impact on Purchaser Agent’s or the Purchasers’ rights and remedies under this Agreement. Upon the occurrence of a breach of any Material Contract by any other party thereto, each Obligor shall seek to enforce all of its (and cause its Subsidiaries to seek to enforce all of their) rights and remedies thereunder.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5.14 </w:t>
      </w:r>
      <w:r>
        <w:rPr>
          <w:rFonts w:ascii="Times New Roman" w:cs="Times New Roman" w:eastAsia="Times New Roman" w:hAnsi="Times New Roman"/>
          <w:sz w:val="18"/>
          <w:szCs w:val="18"/>
          <w:u w:val="single" w:color="auto"/>
          <w:color w:val="auto"/>
        </w:rPr>
        <w:t>Employee and Pension Matters.</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Other than a customary 401(k) plan, no Obligor nor any ERISA Affiliate shall sponsor, establish, maintain, participate in or incur any liability in respect of any “employee benefit plan” as defined in Section 3(3) of ERISA and that is intended to be a tax-qualified plan under Section 401 of the Code and is subject to ERISA which is, or within the preceding six years was, sponsored, maintained or contributed to by, or required to be contributed by, any member of the Company and its Subsidiaries or any of their respective ERISA Affiliates.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TERMINATION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6.01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Except as provided in this Section 6.01 and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this Agreement shall terminate upon expiration of the Revenue Interest Period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If any payments are required to be made by one of the parties hereunder after that date, this Agreement shall remain in full force and effect until any and all such payments have been made in full, and (except as provided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solely for that purpose. In addition, this Agreement shall sooner terminate if the Purchasers shall have exercised the Put Option in accordance with </w:t>
      </w:r>
      <w:r>
        <w:rPr>
          <w:rFonts w:ascii="Times New Roman" w:cs="Times New Roman" w:eastAsia="Times New Roman" w:hAnsi="Times New Roman"/>
          <w:sz w:val="18"/>
          <w:szCs w:val="18"/>
          <w:u w:val="single" w:color="auto"/>
          <w:color w:val="auto"/>
        </w:rPr>
        <w:t>Section 5.07(a)</w:t>
      </w:r>
      <w:r>
        <w:rPr>
          <w:rFonts w:ascii="Times New Roman" w:cs="Times New Roman" w:eastAsia="Times New Roman" w:hAnsi="Times New Roman"/>
          <w:sz w:val="18"/>
          <w:szCs w:val="18"/>
          <w:color w:val="auto"/>
        </w:rPr>
        <w:t xml:space="preserve"> or the Company shall have exercised the Call Option in accordance with </w:t>
      </w:r>
      <w:r>
        <w:rPr>
          <w:rFonts w:ascii="Times New Roman" w:cs="Times New Roman" w:eastAsia="Times New Roman" w:hAnsi="Times New Roman"/>
          <w:sz w:val="18"/>
          <w:szCs w:val="18"/>
          <w:u w:val="single" w:color="auto"/>
          <w:color w:val="auto"/>
        </w:rPr>
        <w:t>Section 5.07(b)</w:t>
      </w:r>
      <w:r>
        <w:rPr>
          <w:rFonts w:ascii="Times New Roman" w:cs="Times New Roman" w:eastAsia="Times New Roman" w:hAnsi="Times New Roman"/>
          <w:sz w:val="18"/>
          <w:szCs w:val="18"/>
          <w:color w:val="auto"/>
        </w:rPr>
        <w:t>, in each case upon the payment of the Put/Call Price and any other Obligations (other than contingent indemnity obligations for which no claim has been made).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70"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6.02 </w:t>
      </w:r>
      <w:r>
        <w:rPr>
          <w:rFonts w:ascii="Times New Roman" w:cs="Times New Roman" w:eastAsia="Times New Roman" w:hAnsi="Times New Roman"/>
          <w:sz w:val="18"/>
          <w:szCs w:val="18"/>
          <w:u w:val="single" w:color="auto"/>
          <w:color w:val="auto"/>
        </w:rPr>
        <w:t>Effect of Termination.</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the event of the termination of this Agreement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this Agreement shall forthwith become void and have no effect without any liability on the part of any party hereto or its Affiliates, directors, officers, stockholders, partners, managers or members other than the provisions of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hereof, which shall survive any termination indefinitely. Nothing contained in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shall relieve any party from liability for any breach of this Agreement.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PURCHASER AGENT</w:t>
      </w:r>
    </w:p>
    <w:p>
      <w:pPr>
        <w:spacing w:after="0" w:line="2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7.01 </w:t>
      </w:r>
      <w:r>
        <w:rPr>
          <w:rFonts w:ascii="Times New Roman" w:cs="Times New Roman" w:eastAsia="Times New Roman" w:hAnsi="Times New Roman"/>
          <w:sz w:val="18"/>
          <w:szCs w:val="18"/>
          <w:u w:val="single" w:color="auto"/>
          <w:color w:val="auto"/>
        </w:rPr>
        <w:t>Appointment and Authority</w:t>
      </w:r>
      <w:r>
        <w:rPr>
          <w:rFonts w:ascii="Times New Roman" w:cs="Times New Roman" w:eastAsia="Times New Roman" w:hAnsi="Times New Roman"/>
          <w:sz w:val="18"/>
          <w:szCs w:val="18"/>
          <w:color w:val="auto"/>
        </w:rPr>
        <w:t>. Each of the Purchasers hereby irrevocably appoints Infinity SA LLC (together with any successor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Agent pursuant to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as the Purchaser Agent hereunder and authorizes Purchaser Agent to (i) execute and deliver the Transaction Documents and accept delivery thereof on its behalf from the Obligors and their Subsidiaries, (ii) take such action on its behalf and to exercise all rights, powers and remedies and perform the duties as are expressly delegated to the Purchaser Agent under such Transaction Documents, (iii) act as agent of such Purchaser for purposes of acquiring, holding, enforcing and perfecting all Liens granted by the Obligors on the Collateral to secure any of the Obligations and (iv) exercise such powers as are reasonably incidental thereto. Except for the last paragraph of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xml:space="preserve">, the provisions of this Article VII are solely for the benefit of the Purchaser Agent and the Purchasers, and neither the Company nor any other Obligor shall have rights as a third-party beneficiary of any of such provisions. Subject to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8.08</w:t>
      </w:r>
      <w:r>
        <w:rPr>
          <w:rFonts w:ascii="Times New Roman" w:cs="Times New Roman" w:eastAsia="Times New Roman" w:hAnsi="Times New Roman"/>
          <w:sz w:val="18"/>
          <w:szCs w:val="18"/>
          <w:color w:val="auto"/>
        </w:rPr>
        <w:t>, any action required or permitted to be taken by the Purchaser Agent hereunder shall be taken with the prior approval of the Required Purchasers.</w:t>
      </w:r>
    </w:p>
    <w:p>
      <w:pPr>
        <w:spacing w:after="0" w:line="8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7.02 </w:t>
      </w:r>
      <w:r>
        <w:rPr>
          <w:rFonts w:ascii="Times New Roman" w:cs="Times New Roman" w:eastAsia="Times New Roman" w:hAnsi="Times New Roman"/>
          <w:sz w:val="18"/>
          <w:szCs w:val="18"/>
          <w:u w:val="single" w:color="auto"/>
          <w:color w:val="auto"/>
        </w:rPr>
        <w:t>Rights as a Purchaser</w:t>
      </w:r>
      <w:r>
        <w:rPr>
          <w:rFonts w:ascii="Times New Roman" w:cs="Times New Roman" w:eastAsia="Times New Roman" w:hAnsi="Times New Roman"/>
          <w:sz w:val="18"/>
          <w:szCs w:val="18"/>
          <w:color w:val="auto"/>
        </w:rPr>
        <w:t>. The Person serving as the Purchaser Agent hereunder shall have the same rights (including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powers, and shall be subject to the same obligations under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as any other Purchaser and may exercise the same as though it were not the Purchaser Agent and the term “Purchaser” or “Purchasers” shall, unless otherwise expressly indicated or unless the context otherwise requires, include the Person serving as the Purchaser Agent hereunder. Such Person and its Affiliates may lend money to, own securities of, act as the financial advisor or in any other advisory capacity for and generally engage in any kind of business with any Obligor or any Subsidiary or other Affiliate thereof as if such Person were not the Purchaser Agent hereunder and without any duty to account therefor to the Purchasers.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7.03 </w:t>
      </w:r>
      <w:r>
        <w:rPr>
          <w:rFonts w:ascii="Times New Roman" w:cs="Times New Roman" w:eastAsia="Times New Roman" w:hAnsi="Times New Roman"/>
          <w:sz w:val="18"/>
          <w:szCs w:val="18"/>
          <w:u w:val="single" w:color="auto"/>
          <w:color w:val="auto"/>
        </w:rPr>
        <w:t>Exculpatory Provisions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firstLine="436"/>
        <w:spacing w:after="0" w:line="282" w:lineRule="auto"/>
        <w:tabs>
          <w:tab w:leader="none" w:pos="68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Agent shall not have any duties or obligations except those expressly set forth herein and in the other Transaction Documents to which it is a party. Without limiting the generality of the foregoing, the Purchaser Agent:</w:t>
      </w:r>
    </w:p>
    <w:p>
      <w:pPr>
        <w:spacing w:after="0" w:line="53"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078"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subject to any fiduciary or other implied duties, regardless of whether a default, breach by any Obligor of the Transaction Documents or Put Option Event, or any event that, with the giving of notice or passage of time, would constitute a Put Option Event, has occurred and is continuing;</w:t>
      </w:r>
    </w:p>
    <w:p>
      <w:pPr>
        <w:spacing w:after="0" w:line="67" w:lineRule="exact"/>
        <w:rPr>
          <w:rFonts w:ascii="Times New Roman" w:cs="Times New Roman" w:eastAsia="Times New Roman" w:hAnsi="Times New Roman"/>
          <w:sz w:val="18"/>
          <w:szCs w:val="18"/>
          <w:color w:val="auto"/>
        </w:rPr>
      </w:pPr>
    </w:p>
    <w:p>
      <w:pPr>
        <w:ind w:left="440" w:firstLine="419"/>
        <w:spacing w:after="0" w:line="258" w:lineRule="auto"/>
        <w:tabs>
          <w:tab w:leader="none" w:pos="1128"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have any duty to take any discretionary action or exercise any discretionary powers, except discretionary rights and powers expressly contemplated hereby or by the other Transaction Documents to which it is a party that the Purchaser Agent is required to exercise as directed in writing by the Required Purchasers (or such other number or percentage of the Purchasers as shall be expressly provided for herein or in such other Transaction Documents), provided that the Purchaser Agent shall not be required to take any action that, in its opinion or the opinion of its counsel, may expose the Purchaser Agent to liability or that is contrary to any Transaction Document or Applicable Law; and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980"/>
          </w:cols>
          <w:pgMar w:left="440" w:top="266" w:right="479" w:bottom="1440" w:gutter="0" w:footer="0" w:header="0"/>
        </w:sectPr>
      </w:pPr>
    </w:p>
    <w:bookmarkStart w:id="90" w:name="page91"/>
    <w:bookmarkEnd w:id="90"/>
    <w:p>
      <w:pPr>
        <w:ind w:left="444" w:right="220" w:firstLine="419"/>
        <w:spacing w:after="0" w:line="266" w:lineRule="auto"/>
        <w:tabs>
          <w:tab w:leader="none" w:pos="1182"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not, except as expressly set forth herein and in the other Transaction Documents to which it is a party, have any duty to disclose, and shall not be liable for the failure to disclose, any information relating to any Obligor or any of its Affiliates that is communicated to or obtained by the Person serving as the Purchaser Agent or any of its Affiliates in any capacity.</w:t>
      </w:r>
    </w:p>
    <w:p>
      <w:pPr>
        <w:spacing w:after="0" w:line="67" w:lineRule="exact"/>
        <w:rPr>
          <w:rFonts w:ascii="Times New Roman" w:cs="Times New Roman" w:eastAsia="Times New Roman" w:hAnsi="Times New Roman"/>
          <w:sz w:val="18"/>
          <w:szCs w:val="18"/>
          <w:color w:val="auto"/>
        </w:rPr>
      </w:pPr>
    </w:p>
    <w:p>
      <w:pPr>
        <w:ind w:left="4" w:firstLine="436"/>
        <w:spacing w:after="0" w:line="256" w:lineRule="auto"/>
        <w:tabs>
          <w:tab w:leader="none" w:pos="699"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Agent shall not be liable for any action taken or not taken by it (i) with the consent or at the request of the Required Purchasers (or such other number or percentage of the Purchasers as shall be necessary, or as the Purchaser Agent shall believe in good faith shall be necessary, under the circumstances as provided in Section 8.08) or (ii) in the absence of its own gross negligence or willful misconduct as determined by a court of competent jurisdiction by final and non-appealable judgment. The Purchaser Agent shall be deemed not to have knowledge of any default, breach by the Obligors of the Transaction Documents, or Put Option Event unless and until notice describing such default, breach of the Transaction Documents or Put Option Event is given to the Purchaser Agent in writing by the Obligors or a Purchaser.</w:t>
      </w:r>
    </w:p>
    <w:p>
      <w:pPr>
        <w:spacing w:after="0" w:line="79" w:lineRule="exact"/>
        <w:rPr>
          <w:rFonts w:ascii="Times New Roman" w:cs="Times New Roman" w:eastAsia="Times New Roman" w:hAnsi="Times New Roman"/>
          <w:sz w:val="18"/>
          <w:szCs w:val="18"/>
          <w:color w:val="auto"/>
        </w:rPr>
      </w:pPr>
    </w:p>
    <w:p>
      <w:pPr>
        <w:ind w:left="4" w:right="20" w:firstLine="436"/>
        <w:spacing w:after="0" w:line="269" w:lineRule="auto"/>
        <w:tabs>
          <w:tab w:leader="none" w:pos="689"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Purchaser Agent shall not be responsible for or have any duty to ascertain or inquire into (i) any statement, warranty or representation made in or in connection with this Agreement or any other Transaction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breach of the Transaction Documents or Put Option Event, (iv) the validity, enforceability, effectiveness or genuineness of this Agreement, any other Transaction Document or any other agreement, instrument or document or</w:t>
      </w:r>
    </w:p>
    <w:p>
      <w:pPr>
        <w:spacing w:after="0" w:line="2" w:lineRule="exact"/>
        <w:rPr>
          <w:rFonts w:ascii="Times New Roman" w:cs="Times New Roman" w:eastAsia="Times New Roman" w:hAnsi="Times New Roman"/>
          <w:sz w:val="17"/>
          <w:szCs w:val="17"/>
          <w:color w:val="auto"/>
        </w:rPr>
      </w:pPr>
    </w:p>
    <w:p>
      <w:pPr>
        <w:ind w:left="4" w:hanging="4"/>
        <w:spacing w:after="0" w:line="260" w:lineRule="auto"/>
        <w:tabs>
          <w:tab w:leader="none" w:pos="25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satisfaction of any condition set forth in Article II or elsewhere herein, other than to confirm receipt of items expressly required to be delivered to the Purchaser Agent.</w:t>
      </w:r>
    </w:p>
    <w:p>
      <w:pPr>
        <w:spacing w:after="0" w:line="73" w:lineRule="exact"/>
        <w:rPr>
          <w:rFonts w:ascii="Times New Roman" w:cs="Times New Roman" w:eastAsia="Times New Roman" w:hAnsi="Times New Roman"/>
          <w:sz w:val="18"/>
          <w:szCs w:val="18"/>
          <w:color w:val="auto"/>
        </w:rPr>
      </w:pPr>
    </w:p>
    <w:p>
      <w:pPr>
        <w:ind w:left="4" w:right="60" w:firstLine="436"/>
        <w:spacing w:after="0" w:line="258" w:lineRule="auto"/>
        <w:tabs>
          <w:tab w:leader="none" w:pos="699"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the Purchaser Agent’s sole duty with respect to the custody, safekeeping and physical preservation of the Collateral in its possession, under the UCC or otherwise, shall be to deal with it in the same manner as the Purchaser Agent deals with similar property for its own account, and the Purchaser Agent shall be deemed to have exercised reasonable care in the custody and preservation of the Collateral in its possession if the Collateral is accorded treatment substantially equal to that which comparable secured parties accord comparable collateral.</w:t>
      </w:r>
    </w:p>
    <w:p>
      <w:pPr>
        <w:spacing w:after="0" w:line="75" w:lineRule="exact"/>
        <w:rPr>
          <w:rFonts w:ascii="Times New Roman" w:cs="Times New Roman" w:eastAsia="Times New Roman" w:hAnsi="Times New Roman"/>
          <w:sz w:val="18"/>
          <w:szCs w:val="18"/>
          <w:color w:val="auto"/>
        </w:rPr>
      </w:pPr>
    </w:p>
    <w:p>
      <w:pPr>
        <w:ind w:left="4" w:right="220" w:firstLine="436"/>
        <w:spacing w:after="0" w:line="261" w:lineRule="auto"/>
        <w:tabs>
          <w:tab w:leader="none" w:pos="689"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and not in limitation of the provisions of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under no circumstances shall the Purchaser Agent have any duty or obligation to take any actions hereunder, even if instructed to do so by the Required Purchasers, if the Purchaser Agent determines, in its sole and absolute discretion, that such actions would subject it to liability or expense for which indemnity or security satisfactory to it has not been provided hereunder or otherwise or would be contrary to the Transactions Documents or requirements of Applicable Law.</w:t>
      </w:r>
    </w:p>
    <w:p>
      <w:pPr>
        <w:spacing w:after="0" w:line="176" w:lineRule="exact"/>
        <w:rPr>
          <w:sz w:val="20"/>
          <w:szCs w:val="20"/>
          <w:color w:val="auto"/>
        </w:rPr>
      </w:pPr>
    </w:p>
    <w:p>
      <w:pPr>
        <w:ind w:left="4" w:right="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7.04 </w:t>
      </w:r>
      <w:r>
        <w:rPr>
          <w:rFonts w:ascii="Times New Roman" w:cs="Times New Roman" w:eastAsia="Times New Roman" w:hAnsi="Times New Roman"/>
          <w:sz w:val="18"/>
          <w:szCs w:val="18"/>
          <w:u w:val="single" w:color="auto"/>
          <w:color w:val="auto"/>
        </w:rPr>
        <w:t>Reliance by Purchaser Agent</w:t>
      </w:r>
      <w:r>
        <w:rPr>
          <w:rFonts w:ascii="Times New Roman" w:cs="Times New Roman" w:eastAsia="Times New Roman" w:hAnsi="Times New Roman"/>
          <w:sz w:val="18"/>
          <w:szCs w:val="18"/>
          <w:color w:val="auto"/>
        </w:rPr>
        <w:t>. The Purchaser Agent shall be entitled to rely upon, and shall not incur any liability for relying upon,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Purchaser Agent also may rely upon any statement made to it orally or by telephone and believed by it to have been made by the proper Person, and shall not incur any liability for relying thereon. The Purchaser Agent may consult with legal counsel (who may be counsel for the Obligors), independent accountants and other experts selected by it, and shall not be liable for any action taken or not taken by it in accordance with the advice of any such counsel, accountants or experts.</w:t>
      </w:r>
    </w:p>
    <w:p>
      <w:pPr>
        <w:spacing w:after="0" w:line="183" w:lineRule="exact"/>
        <w:rPr>
          <w:sz w:val="20"/>
          <w:szCs w:val="20"/>
          <w:color w:val="auto"/>
        </w:rPr>
      </w:pPr>
    </w:p>
    <w:p>
      <w:pPr>
        <w:ind w:left="4"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7.05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The Purchaser Agent may perform any and all of its duties and exercise its rights and powers hereunder or under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Transaction Document by or through any one or more sub-agents appointed by the Purchaser Agent. The Purchaser Agent and any such sub-agent may perform any and all of its duties and exercise its rights and powers by or through their respective Affiliates. The exculpatory provisions of this Article VII shall apply to any such sub-agent and to the Affiliates of the Purchaser Agent and any such sub-agent. The Purchaser Agent shall not be responsible for the negligence or misconduct of any sub-agent except to the extent that a court of competent jurisdiction determines in a final and non-appealable judgment that the Purchaser Agent acted with gross negligence or willful misconduct in the selection of such sub-agent.</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4"/>
          </w:cols>
          <w:pgMar w:left="436" w:top="270" w:right="459" w:bottom="1440" w:gutter="0" w:footer="0" w:header="0"/>
        </w:sectPr>
      </w:pPr>
    </w:p>
    <w:bookmarkStart w:id="91" w:name="page92"/>
    <w:bookmarkEnd w:id="91"/>
    <w:p>
      <w:pPr>
        <w:ind w:left="4" w:right="240"/>
        <w:spacing w:after="0" w:line="272"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7.06 </w:t>
      </w:r>
      <w:r>
        <w:rPr>
          <w:rFonts w:ascii="Times New Roman" w:cs="Times New Roman" w:eastAsia="Times New Roman" w:hAnsi="Times New Roman"/>
          <w:sz w:val="17"/>
          <w:szCs w:val="17"/>
          <w:u w:val="single" w:color="auto"/>
          <w:color w:val="auto"/>
        </w:rPr>
        <w:t>Resignation of Purchaser Agent</w:t>
      </w:r>
      <w:r>
        <w:rPr>
          <w:rFonts w:ascii="Times New Roman" w:cs="Times New Roman" w:eastAsia="Times New Roman" w:hAnsi="Times New Roman"/>
          <w:sz w:val="17"/>
          <w:szCs w:val="17"/>
          <w:color w:val="auto"/>
        </w:rPr>
        <w:t>. The Purchaser Agent may at any time give notice of its resignation to the Purchasers and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upon thirty (30) days written notice. Upon the receipt of any such notice of resignation, the Required Purchasers shall have the right, in consultation with the Company so long as no default, breach by the Obligors of the Transaction Documents or Put Option Event has occurred and is continuing, to appoint a successor. If no successor shall have been so appointed by the Required Purchasers and shall have accepted such appointment within thirty</w:t>
      </w:r>
    </w:p>
    <w:p>
      <w:pPr>
        <w:ind w:left="4" w:right="80" w:hanging="4"/>
        <w:spacing w:after="0" w:line="251" w:lineRule="auto"/>
        <w:tabs>
          <w:tab w:leader="none" w:pos="34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after the retiring Purchaser Agent gives notice of its resignation, then the retiring Purchaser Agent may, on behalf of the Purchasers, appoint a successor Purchaser Agent; provided that, whether or not a successor has been appointed or has accepted such appointment, such resignation shall become effective upon delivery of the notice thereof. Upon the acceptance of a successor’s appointment as Purchaser Agent hereunder, such successor shall succeed to and become vested with all of the rights, powers, privileges and duties of the retiring (or retired) Purchaser Agent, and the retiring Purchaser Agent shall be discharged from all of its duties and obligations under the Transaction Documents (if not already discharged therefrom as provided above in this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After the retiring Purchaser Agent’s resignation, the provisions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shall continue in effect for the benefit of such retiring Purchaser Agent, its sub-agents and their respective Affiliates in respect of any actions taken or omitted to be taken by any of them while the retiring Purchaser Agent was acting as Purchaser Agent. Upon any resignation by the Purchaser Agent, all payments (if any), communications and determinations provided to be made by, to or through the Purchaser Agent shall instead be made by, to or through each Purchaser directly, until such time as a Person accepts an appointment as Purchaser Agent in accordance with this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4"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7.07 </w:t>
      </w:r>
      <w:r>
        <w:rPr>
          <w:rFonts w:ascii="Times New Roman" w:cs="Times New Roman" w:eastAsia="Times New Roman" w:hAnsi="Times New Roman"/>
          <w:sz w:val="18"/>
          <w:szCs w:val="18"/>
          <w:u w:val="single" w:color="auto"/>
          <w:color w:val="auto"/>
        </w:rPr>
        <w:t>Non-Reliance on Purchaser Agent and Other Purchasers</w:t>
      </w:r>
      <w:r>
        <w:rPr>
          <w:rFonts w:ascii="Times New Roman" w:cs="Times New Roman" w:eastAsia="Times New Roman" w:hAnsi="Times New Roman"/>
          <w:sz w:val="18"/>
          <w:szCs w:val="18"/>
          <w:color w:val="auto"/>
        </w:rPr>
        <w:t>. Each Purchaser acknowledges that it has, independently and without reliance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Purchaser Agent or any other Purchaser or any of their Affiliates and based on such documents and information as it has deemed appropriate, made its own credit analysis and decision to enter into this Agreement and purchase the Revenue Interests hereunder. Each Purchaser also acknowledges that it will, independently and without reliance upon the Purchaser Agent or any other Purchaser or any of their Affiliates and based on such documents and information as it shall from time to time deem appropriate, continue to make its own decisions in taking or not taking action under or based upon this Agreement, any other Transaction Document or any related agreement or any document furnished hereunder or thereunder.</w:t>
      </w:r>
    </w:p>
    <w:p>
      <w:pPr>
        <w:spacing w:after="0" w:line="182" w:lineRule="exact"/>
        <w:rPr>
          <w:sz w:val="20"/>
          <w:szCs w:val="20"/>
          <w:color w:val="auto"/>
        </w:rPr>
      </w:pPr>
    </w:p>
    <w:p>
      <w:pPr>
        <w:ind w:left="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7.08 </w:t>
      </w:r>
      <w:r>
        <w:rPr>
          <w:rFonts w:ascii="Times New Roman" w:cs="Times New Roman" w:eastAsia="Times New Roman" w:hAnsi="Times New Roman"/>
          <w:sz w:val="18"/>
          <w:szCs w:val="18"/>
          <w:u w:val="single" w:color="auto"/>
          <w:color w:val="auto"/>
        </w:rPr>
        <w:t>Collateral and Guaranty Matters</w:t>
      </w:r>
      <w:r>
        <w:rPr>
          <w:rFonts w:ascii="Times New Roman" w:cs="Times New Roman" w:eastAsia="Times New Roman" w:hAnsi="Times New Roman"/>
          <w:sz w:val="18"/>
          <w:szCs w:val="18"/>
          <w:color w:val="auto"/>
        </w:rPr>
        <w:t>. Each Purchaser agrees that any action taken by the Purchaser Agent or the Required Purchasers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provisions of this Agreement or of the other Transaction Documents, and the exercise by the Purchaser Agent or Required Purchasers of the powers set forth herein or therein, together with such other powers as are reasonably incidental thereto, shall be authorized and binding upon all of the Purchasers. Without limiting the generality of the foregoing, the Purchasers irrevocably authorize the Purchaser Agent, at its option and in its discretion:</w:t>
      </w:r>
    </w:p>
    <w:p>
      <w:pPr>
        <w:spacing w:after="0" w:line="75" w:lineRule="exact"/>
        <w:rPr>
          <w:sz w:val="20"/>
          <w:szCs w:val="20"/>
          <w:color w:val="auto"/>
        </w:rPr>
      </w:pPr>
    </w:p>
    <w:p>
      <w:pPr>
        <w:ind w:left="4" w:right="20" w:firstLine="436"/>
        <w:spacing w:after="0" w:line="255" w:lineRule="auto"/>
        <w:tabs>
          <w:tab w:leader="none" w:pos="68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release any Lien on any property granted to or held by the Purchaser Agent under any Transaction Document (A) upon the discharge of the Obligations (other than contingent indemnity obligations for which no claim has been made), (B) that is sold, transferred, disposed or to be sold, transferred, disposed as part of or in connection with any sale, transfer or other disposition (other than any sale to an Obligor; provided, however that the Purchaser Agent may make any filings necessary to reflect the transfer of Collateral from one Obligor to another) permitted hereunder or otherwise becomes an Excluded Property (as defined in the Security Agreement), (C) subject to </w:t>
      </w:r>
      <w:r>
        <w:rPr>
          <w:rFonts w:ascii="Times New Roman" w:cs="Times New Roman" w:eastAsia="Times New Roman" w:hAnsi="Times New Roman"/>
          <w:sz w:val="18"/>
          <w:szCs w:val="18"/>
          <w:u w:val="single" w:color="auto"/>
          <w:color w:val="auto"/>
        </w:rPr>
        <w:t>Section 8.08</w:t>
      </w:r>
      <w:r>
        <w:rPr>
          <w:rFonts w:ascii="Times New Roman" w:cs="Times New Roman" w:eastAsia="Times New Roman" w:hAnsi="Times New Roman"/>
          <w:sz w:val="18"/>
          <w:szCs w:val="18"/>
          <w:color w:val="auto"/>
        </w:rPr>
        <w:t>, if approved, authorized or ratified in writing by the Required Purchasers or (D) to the extent such property is owned by a Subsidiary Guarantor upon the release of such Subsidiary Guarantor from its obligations under its Guaranty pursuant to clause (c) below;</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4"/>
          </w:cols>
          <w:pgMar w:left="436" w:top="266" w:right="459" w:bottom="1440" w:gutter="0" w:footer="0" w:header="0"/>
        </w:sectPr>
      </w:pPr>
    </w:p>
    <w:bookmarkStart w:id="92" w:name="page93"/>
    <w:bookmarkEnd w:id="92"/>
    <w:p>
      <w:pPr>
        <w:ind w:firstLine="436"/>
        <w:spacing w:after="0" w:line="282" w:lineRule="auto"/>
        <w:tabs>
          <w:tab w:leader="none" w:pos="69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release any Subsidiary Guarantor from its obligations under the Guaranty if such Person ceases to be a Subsidiary as a result of a transaction permitted hereunder; and</w:t>
      </w:r>
    </w:p>
    <w:p>
      <w:pPr>
        <w:spacing w:after="0" w:line="53" w:lineRule="exact"/>
        <w:rPr>
          <w:rFonts w:ascii="Times New Roman" w:cs="Times New Roman" w:eastAsia="Times New Roman" w:hAnsi="Times New Roman"/>
          <w:sz w:val="18"/>
          <w:szCs w:val="18"/>
          <w:color w:val="auto"/>
        </w:rPr>
      </w:pPr>
    </w:p>
    <w:p>
      <w:pPr>
        <w:ind w:right="160" w:firstLine="436"/>
        <w:spacing w:after="0" w:line="282" w:lineRule="auto"/>
        <w:tabs>
          <w:tab w:leader="none" w:pos="68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enter into non-disturbance and similar agreements in connection with the licensing of Intellectual Property permitted pursuant to the terms of this Agreement in form and substance reasonably satisfactory to the Purchaser Agent and the applicable licensor.</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Upon request by the Purchaser Agent at any time, the Required Purchasers will confirm in writing the Purchaser Agent’s authority to release or subordinate its interest in particular types or items of property, or to release any Subsidiary Guarantor from its obligations under the Guaranty pursuant to this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In each case as specified in this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xml:space="preserve">, the Purchaser Agent will (and each Purchaser irrevocably authorizes the Purchaser Agent to), at the Obligors’ expense, execute and deliver to the applicable Obligor such documents as such Obligor may reasonably request (i) to evidence the release or subordination of such item of collateral from the assignment and security interest granted under the Transaction Documents, (ii) to enter into non-disturbance or similar agreements in connection with the licensing of Intellectual Property, (iii) to evidence the release of such Subsidiary Guarantor from its obligations under the Guaranty, in each case in accordance with the terms of the Transaction Documents and this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xml:space="preserve"> and in form and substance reasonably acceptable to the Purchaser Agent.</w:t>
      </w:r>
    </w:p>
    <w:p>
      <w:pPr>
        <w:spacing w:after="0" w:line="18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 xml:space="preserve">The Purchaser Agent shall deliver to the Purchasers notice of any action taken by it under this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xml:space="preserve"> as soon as reasonably practicable after the taking thereof; provided, that delivery of or failure to deliver any such notice shall not affect the Purchaser Agent’s rights, powers, privileges and protections under this Article VII.</w:t>
      </w:r>
    </w:p>
    <w:p>
      <w:pPr>
        <w:spacing w:after="0" w:line="172"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7.09 </w:t>
      </w:r>
      <w:r>
        <w:rPr>
          <w:rFonts w:ascii="Times New Roman" w:cs="Times New Roman" w:eastAsia="Times New Roman" w:hAnsi="Times New Roman"/>
          <w:sz w:val="18"/>
          <w:szCs w:val="18"/>
          <w:u w:val="single" w:color="auto"/>
          <w:color w:val="auto"/>
        </w:rPr>
        <w:t>Reimbursement by Purchasers</w:t>
      </w:r>
      <w:r>
        <w:rPr>
          <w:rFonts w:ascii="Times New Roman" w:cs="Times New Roman" w:eastAsia="Times New Roman" w:hAnsi="Times New Roman"/>
          <w:sz w:val="18"/>
          <w:szCs w:val="18"/>
          <w:color w:val="auto"/>
        </w:rPr>
        <w:t>. To the extent that the Obligors for any reason fail to indefeasibly pay any amount required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 xml:space="preserve"> to be paid by them to the Purchaser Agent (or any sub-agent thereof) or any Affiliate of any of the foregoing, each Purchaser severally agrees to pay to the Purchaser Agent (or any such sub-agent) or such Affiliate, as the case may be, such Purchaser’s Pro Rata Portion of such unpaid amount; provided that the unreimbursed expense or indemnified loss, damage, liability or related expense, as the case may be, was incurred by or asserted against the Purchaser Agent (or any such sub-agent) in its capacity as such or against any Affiliate of any of the foregoing acting for the Purchaser Agent (or any sub-agent) in connection with such capacity.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980"/>
          </w:cols>
          <w:pgMar w:left="440" w:top="270" w:right="479" w:bottom="1440" w:gutter="0" w:footer="0" w:header="0"/>
        </w:sectPr>
      </w:pPr>
    </w:p>
    <w:bookmarkStart w:id="93" w:name="page94"/>
    <w:bookmarkEnd w:id="93"/>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VIII</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MISCELLANEOUS</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Section 8.01 </w:t>
      </w:r>
      <w:r>
        <w:rPr>
          <w:rFonts w:ascii="Times New Roman" w:cs="Times New Roman" w:eastAsia="Times New Roman" w:hAnsi="Times New Roman"/>
          <w:sz w:val="18"/>
          <w:szCs w:val="18"/>
          <w:u w:val="single" w:color="auto"/>
          <w:color w:val="auto"/>
        </w:rPr>
        <w:t>Limitations on Damages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Agreement or any other Transaction Document, in no event shall any party hereto be liable for special, indirect, incidental, punitive or consequential damages of any other party, whether or not caused by or resulting from the actions of such party or the breach of its covenants, agreements, representations or warranties under the Transaction Documents, even if such party has been advised of the possibility of such damages;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nothing contained in this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shall limit the Obligors’ indemnification obligations hereunder to the extent such special, indirect, consequential or punitive damages are included in any third party claim in connection with which such Indemnified Party is entitled to indemnification under any Transaction Document. In connection with the foregoing, the parties hereto acknowledge and agree that</w:t>
      </w:r>
    </w:p>
    <w:p>
      <w:pPr>
        <w:spacing w:after="0" w:line="5" w:lineRule="exact"/>
        <w:rPr>
          <w:sz w:val="20"/>
          <w:szCs w:val="20"/>
          <w:color w:val="auto"/>
        </w:rPr>
      </w:pPr>
    </w:p>
    <w:p>
      <w:pPr>
        <w:jc w:val="both"/>
        <w:ind w:left="4" w:right="300" w:hanging="4"/>
        <w:spacing w:after="0" w:line="265" w:lineRule="auto"/>
        <w:tabs>
          <w:tab w:leader="none" w:pos="219"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Purchaser Agent’s and the Purchasers’ damages, if any, for any such action or claim will typically include losses for payments that the Purchasers were entitled to receive in respect of their ownership of the Revenue Interests but did not receive timely or at all due to such indemnifiable event and</w:t>
      </w:r>
    </w:p>
    <w:p>
      <w:pPr>
        <w:ind w:left="4" w:right="100" w:hanging="4"/>
        <w:spacing w:after="0" w:line="260" w:lineRule="auto"/>
        <w:tabs>
          <w:tab w:leader="none" w:pos="26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Agent and the Purchasers shall be entitled to make claims for all such missing or delayed Revenue Interests as losses hereunder, and such missing or delayed Revenue Interests shall not be deemed special, indirect, incidental, punitive or consequential damages.</w:t>
      </w:r>
    </w:p>
    <w:p>
      <w:pPr>
        <w:spacing w:after="0" w:line="6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Section 8.02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All notices, consents, waivers and communications under this Agreement or any other Transaction Document given by any party to the other shall be in writing and delivered personally, by a recognized overnight courier, or by dispatching the same by certified or registered mail, return receipt requested, with postage prepaid, or by email, in each case addressed (with a copy by email):</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ImmunityBio, Inc.</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3530 John Hopkins Court</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Attn: Jason Liljestrom</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Telephone: (310) 913-3804</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Email: Jason.Liljestrom@Immunitybio.com</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If to the Purchaser Agent: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c/o Oberland Capital Management LLC</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1700 Broadway, 37th Floor</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Attn: Kristian Wiggert</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Telephone: (212) 257-5850</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Email: kwiggert@oberlandcapital.com.com</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Embarcadero Center</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20th Floor</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San Francisco, CA 94111-4004</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Attn: Gian-Michele a Marca</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Email: gmamarca@cooley.com</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If to any Purchaser: As specified on the applicable signature page hereto.</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4"/>
          </w:cols>
          <w:pgMar w:left="436" w:top="266" w:right="459" w:bottom="1440" w:gutter="0" w:footer="0" w:header="0"/>
        </w:sectPr>
      </w:pPr>
    </w:p>
    <w:bookmarkStart w:id="94" w:name="page95"/>
    <w:bookmarkEnd w:id="94"/>
    <w:p>
      <w:pPr>
        <w:jc w:val="both"/>
        <w:ind w:left="4" w:right="3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to such other address or addresses as the Purchaser Agent, any Purchaser or the Company may from time to time designate by notice as provided herein, except that notices of changes of address shall be effective only upon receipt. All such notices, consents, waivers and communications shall:</w:t>
      </w:r>
    </w:p>
    <w:p>
      <w:pPr>
        <w:spacing w:after="0" w:line="1" w:lineRule="exact"/>
        <w:rPr>
          <w:sz w:val="20"/>
          <w:szCs w:val="20"/>
          <w:color w:val="auto"/>
        </w:rPr>
      </w:pPr>
    </w:p>
    <w:p>
      <w:pPr>
        <w:ind w:left="4" w:right="20" w:hanging="4"/>
        <w:spacing w:after="0" w:line="253" w:lineRule="auto"/>
        <w:tabs>
          <w:tab w:leader="none" w:pos="24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posted by certified or registered mail, postage prepaid, return receipt requested, be effective three (3) Business Days after dispatch, unless such communication is sent trans-Atlantic, in which case they shall be deemed effective five (5) Business Days after dispatch, (b) when delivered by a recognized overnight courier or in person, be effective upon receipt when hand delivered or (c) any notice, if transmitted by email, shall be deemed given upon the earlier of (x) confirmation of receipt by the recipient and (y) the opening of business on the next Business Day for the recipient.</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Section 8.03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80" w:firstLine="440"/>
        <w:spacing w:after="0" w:line="255" w:lineRule="auto"/>
        <w:rPr>
          <w:sz w:val="20"/>
          <w:szCs w:val="20"/>
          <w:color w:val="auto"/>
        </w:rPr>
      </w:pPr>
      <w:r>
        <w:rPr>
          <w:rFonts w:ascii="Times New Roman" w:cs="Times New Roman" w:eastAsia="Times New Roman" w:hAnsi="Times New Roman"/>
          <w:sz w:val="18"/>
          <w:szCs w:val="18"/>
          <w:color w:val="auto"/>
        </w:rPr>
        <w:t>The provisions of this Agreement shall be binding upon and inure to the benefit of the parties hereto and their respective successors and assigns. The Obligors shall not be entitled to assign any of their obligations and rights under the Transaction Documents without the prior written consent of the Purchaser Agent and the Required Purchasers. The Purchaser Agent and any Purchaser shall not assign any of their obligations and rights under the Transaction Documents without the prior written consent of</w:t>
      </w:r>
    </w:p>
    <w:p>
      <w:pPr>
        <w:spacing w:after="0" w:line="3" w:lineRule="exact"/>
        <w:rPr>
          <w:sz w:val="20"/>
          <w:szCs w:val="20"/>
          <w:color w:val="auto"/>
        </w:rPr>
      </w:pPr>
    </w:p>
    <w:p>
      <w:pPr>
        <w:ind w:left="4" w:right="80"/>
        <w:spacing w:after="0" w:line="251" w:lineRule="auto"/>
        <w:rPr>
          <w:sz w:val="20"/>
          <w:szCs w:val="20"/>
          <w:color w:val="auto"/>
        </w:rPr>
      </w:pPr>
      <w:r>
        <w:rPr>
          <w:rFonts w:ascii="Times New Roman" w:cs="Times New Roman" w:eastAsia="Times New Roman" w:hAnsi="Times New Roman"/>
          <w:sz w:val="18"/>
          <w:szCs w:val="18"/>
          <w:color w:val="auto"/>
        </w:rPr>
        <w:t xml:space="preserve">the Company, except that Purchaser Agent and any Purchaser may assign any of its rights under the Transaction Documents (other than the Option Agreement) without restriction (i) to any Eligible Assignee;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with respect to any assignment under this clause (i), if Affiliates of Oberland Capital Management LLC constitute the Required Purchasers prior to such assignment, then Affiliates of Oberland Capital Management LLC shall continue to constitute the Required Purchasers after giving effect to such assignment and (ii) after the occurrence and during the continuance of a Put Option Event, to any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except to the extent such Purchaser retains its obligations to make </w:t>
      </w:r>
      <w:r>
        <w:rPr>
          <w:rFonts w:ascii="Times New Roman" w:cs="Times New Roman" w:eastAsia="Times New Roman" w:hAnsi="Times New Roman"/>
          <w:sz w:val="18"/>
          <w:szCs w:val="18"/>
          <w:color w:val="FF0000"/>
          <w:strike w:val="1"/>
        </w:rPr>
        <w:t>its Pro Rata Portion of</w:t>
      </w:r>
      <w:r>
        <w:rPr>
          <w:rFonts w:ascii="Times New Roman" w:cs="Times New Roman" w:eastAsia="Times New Roman" w:hAnsi="Times New Roman"/>
          <w:sz w:val="18"/>
          <w:szCs w:val="18"/>
          <w:color w:val="auto"/>
        </w:rPr>
        <w:t xml:space="preserve"> future Purchaser Payments, such Eligible Assignee shall assume in writing all such Purchaser’s obligation to make future Purchaser Payments;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Purchaser shall provide the Company with written notice of any assignment. The Company shall maintain a “register” for the recordation of the names and addresses of, and the Purchaser Commitments of, and amounts owing to, each Purchaser and assignee owning Revenue Interest Payments. Any purported assignment not in compliance with the foregoing requirement shall be null and void.</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Section 8.04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firstLine="436"/>
        <w:spacing w:after="0" w:line="254" w:lineRule="auto"/>
        <w:tabs>
          <w:tab w:leader="none" w:pos="68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Obligors hereby indemnify and hold the Purchaser Agent, each Purchaser and their respective Affiliates and any of their respective partners, directors, managers, members, officers, employees and agents (each,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xml:space="preserve">”) harmless from and against any and all Indemnified Liabilities, in all cases, arising, in whole or in part, out of or relating to any claim, notice, suit or proceeding commenced or threatened in writing (including, without limitation, by electronic means) by any Person (including any Governmental Authority);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 the Obligors shall not have any obligation to any Indemnified Party hereunder with respect to any Indemnified Liabilities to the extent such Indemnified Liabilities arise from the bad faith, gross negligence or willful misconduct of such Indemnified Party or the breach by such Indemnified Party of its obligations to pay its Purchaser Payments hereunder and (ii) such indemnity shall not, as to any Indemnified Party, be available to the extent that such Indemnified Liabilities arise out of any claim, litigation, investigation or proceeding brought by any such Indemnifying Party against another Indemnifying Party that does not involve any act or omission by the Obligors or any of their Subsidiaries.</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984"/>
          </w:cols>
          <w:pgMar w:left="436" w:top="270" w:right="479" w:bottom="1440" w:gutter="0" w:footer="0" w:header="0"/>
        </w:sectPr>
      </w:pPr>
    </w:p>
    <w:bookmarkStart w:id="95" w:name="page96"/>
    <w:bookmarkEnd w:id="95"/>
    <w:p>
      <w:pPr>
        <w:ind w:left="4" w:right="40" w:firstLine="436"/>
        <w:spacing w:after="0" w:line="267" w:lineRule="auto"/>
        <w:tabs>
          <w:tab w:leader="none" w:pos="699"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any Third Party Claim shall be brought or alleged against an Indemnified Party in respect of which indemnity is to be sought against an indemnifying party pursuant to this </w:t>
      </w:r>
      <w:r>
        <w:rPr>
          <w:rFonts w:ascii="Times New Roman" w:cs="Times New Roman" w:eastAsia="Times New Roman" w:hAnsi="Times New Roman"/>
          <w:sz w:val="17"/>
          <w:szCs w:val="17"/>
          <w:u w:val="single" w:color="auto"/>
          <w:color w:val="auto"/>
        </w:rPr>
        <w:t>Section 8.04</w:t>
      </w:r>
      <w:r>
        <w:rPr>
          <w:rFonts w:ascii="Times New Roman" w:cs="Times New Roman" w:eastAsia="Times New Roman" w:hAnsi="Times New Roman"/>
          <w:sz w:val="17"/>
          <w:szCs w:val="17"/>
          <w:color w:val="auto"/>
        </w:rPr>
        <w:t xml:space="preserve">, the Indemnified Party shall, promptly after receipt of notice of the commencement of any such Third Party Claim, notify the indemnifying party in writing of the commencement thereof, enclosing a copy of all papers served, if any; provided, that the omission to so notify such indemnifying party will not relieve the indemnifying party from any liability that it may have to any indemnified party under this </w:t>
      </w:r>
      <w:r>
        <w:rPr>
          <w:rFonts w:ascii="Times New Roman" w:cs="Times New Roman" w:eastAsia="Times New Roman" w:hAnsi="Times New Roman"/>
          <w:sz w:val="17"/>
          <w:szCs w:val="17"/>
          <w:u w:val="single" w:color="auto"/>
          <w:color w:val="auto"/>
        </w:rPr>
        <w:t>Section 8.04</w:t>
      </w:r>
      <w:r>
        <w:rPr>
          <w:rFonts w:ascii="Times New Roman" w:cs="Times New Roman" w:eastAsia="Times New Roman" w:hAnsi="Times New Roman"/>
          <w:sz w:val="17"/>
          <w:szCs w:val="17"/>
          <w:color w:val="auto"/>
        </w:rPr>
        <w:t xml:space="preserve"> unless, and only to the extent that, the indemnifying party is actually prejudiced by such omission. In the event that any Third Party Claim is brought against an Indemnified Party and it notifies the indemnifying party of the commencement thereof in accordance with this Section 8.04, the indemnifying party will be entitled, at the indemnifying party’s sole cost and expense, to participate therein and, to the extent that it may wish,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will not, subject to the immediately succeeding sentence, be liable to such indemnified party under this Section 8.04 for any legal or other expenses subsequently incurred by such indemnified party in connection with the defense thereof other than reasonable costs of investigation. In any such Third Party Claim, an Indemnified Party shall have the right to retain its own counsel, but the reasonable fees and expenses of such counsel shall be at the sole cost and expense of such Indemnified Party unless (i) the indemnifying party and the Indemnified Party shall have mutually agreed to the retention of such counsel, (ii) the indemnifying party has assumed the defense of such proceeding and has failed within a reasonable time to retain counsel reasonably satisfactory to such Indemnified Party or (iii) the named parties to any such Third Party Claim (including any impleaded parties) include both the indemnifying party and the Indemnified Party and representation of both parties by the same counsel would be inappropriate due to actual or potential conflicts of interests between them based on the advice of counsel to the indemnifying party. It is agreed that the indemnifying party shall not, in connection with any Third Party Claim or related proceedings in the same jurisdiction, be liable for the reasonable fees and expenses of more than one separate law firm (in addition to local counsel where necessary) for all such Indemnified Parties. The indemnifying party shall not be liable for any settlement of any Third Party Claim effected without its written consent, but, if settled with such consent or if there be a final judgment for the plaintiff, the indemnifying party agrees to indemnify the Indemnified Party from and against any Indemnified Liabilities by reason of such settlement or judgment. No indemnifying party shall, without the prior written consent of the Indemnified Party, effect any settlement, compromise or discharge of any pending or threatened Third Party Claim in respect of which any indemnified party is or could have been a party and indemnity could have been sought hereunder by such indemnified party, unless such settlement, compromise or discharge, as the case may be,</w:t>
      </w:r>
    </w:p>
    <w:p>
      <w:pPr>
        <w:spacing w:after="0" w:line="200" w:lineRule="exact"/>
        <w:rPr>
          <w:rFonts w:ascii="Times New Roman" w:cs="Times New Roman" w:eastAsia="Times New Roman" w:hAnsi="Times New Roman"/>
          <w:sz w:val="17"/>
          <w:szCs w:val="17"/>
          <w:color w:val="auto"/>
        </w:rPr>
      </w:pPr>
    </w:p>
    <w:p>
      <w:pPr>
        <w:ind w:left="4" w:right="80" w:hanging="4"/>
        <w:spacing w:after="0" w:line="253" w:lineRule="auto"/>
        <w:tabs>
          <w:tab w:leader="none" w:pos="21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unconditional written release of such Indemnified Party, in form and substance reasonably satisfactory to the Indemnified Party, from all liability on claims that are the subject matter of such claim or proceeding, (ii) does not include any statement as to an admission of fault, culpability or failure to act by or on behalf of any Indemnified Party and (iii) does not impose any continuing material obligation or restrictions on such Indemnified Party.</w:t>
      </w:r>
    </w:p>
    <w:p>
      <w:pPr>
        <w:spacing w:after="0" w:line="80" w:lineRule="exact"/>
        <w:rPr>
          <w:rFonts w:ascii="Times New Roman" w:cs="Times New Roman" w:eastAsia="Times New Roman" w:hAnsi="Times New Roman"/>
          <w:sz w:val="18"/>
          <w:szCs w:val="18"/>
          <w:color w:val="auto"/>
        </w:rPr>
      </w:pPr>
    </w:p>
    <w:p>
      <w:pPr>
        <w:ind w:left="4" w:firstLine="436"/>
        <w:spacing w:after="0" w:line="252" w:lineRule="auto"/>
        <w:tabs>
          <w:tab w:leader="none" w:pos="689"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claim by an Indemnified Party under this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for any matter not involving a Third Party Claim and in respect of which such Indemnified Party seeks indemnification hereunder may be made by delivering, in good faith, a written notice of demand to the indemnifying party, which notice shall contain (i) a description and the amount of any Indemnified Liabilities incurred or suffered or reasonably expected to be incurred or suffered by the Indemnified Party, (ii) a statement that the Indemnified Party is entitled to indemnification under this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for such Indemnified Liabilities and a reasonable explanation of the basis therefor, and (iii) a demand for payment in the amount of such Indemnified Liabilities. Within thirty (30) days after receipt by the indemnifying party of any such notice, the indemnifying party may deliver to the Indemnified Party that delivered the notice a written response in which the indemnifying party (i) agrees that the Indemnified Party is entitled to the full amount of the Indemnified Liabilities claimed in the notice from the Indemnified Party; (ii) agrees that the Indemnified Party is entitled to part, but not all, of the amount of the Indemnified Liabilities claimed in the notice from the Indemnified Party; or (iii) indicates that the indemnifying party disputes the entire amount of the Indemnified Liabilities claimed in the notice from the Indemnified Party. If the Indemnified Party does not receive such a response from the indemnifying party within such thirty (30)-day period, then the indemnifying party shall be conclusively deemed to have agreed that the Indemnified Party is entitled to the full amount. If the indemnifying party and the Indemnified Party are unable to resolve any dispute relating to any amount of the Indemnified Liabilities claimed in the notice from the Indemnified Party within thirty (30) days after the delivery of the response to such notice from the indemnifying party, then the parties shall be entitled to resort to any legal remedy available to such party to resolve such dispute that is provided for in this Agreement, subject to all the terms, conditions and limitations of this Agreement.</w:t>
      </w:r>
    </w:p>
    <w:p>
      <w:pPr>
        <w:spacing w:after="0" w:line="12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984"/>
          </w:cols>
          <w:pgMar w:left="436" w:top="270" w:right="4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8.05 </w:t>
      </w:r>
      <w:r>
        <w:rPr>
          <w:rFonts w:ascii="Times New Roman" w:cs="Times New Roman" w:eastAsia="Times New Roman" w:hAnsi="Times New Roman"/>
          <w:sz w:val="18"/>
          <w:szCs w:val="18"/>
          <w:u w:val="single" w:color="auto"/>
          <w:color w:val="auto"/>
        </w:rPr>
        <w:t>No Implied Representations and Warranties; Survival of Representations and Warranties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80" w:firstLine="440"/>
        <w:spacing w:after="0" w:line="254" w:lineRule="auto"/>
        <w:rPr>
          <w:sz w:val="20"/>
          <w:szCs w:val="20"/>
          <w:color w:val="auto"/>
        </w:rPr>
      </w:pPr>
      <w:r>
        <w:rPr>
          <w:rFonts w:ascii="Times New Roman" w:cs="Times New Roman" w:eastAsia="Times New Roman" w:hAnsi="Times New Roman"/>
          <w:sz w:val="18"/>
          <w:szCs w:val="18"/>
          <w:color w:val="auto"/>
        </w:rPr>
        <w:t>Each party acknowledges and agrees that, other than the representations and warranties specifically contained in any of the Transaction Documents, there are no representations or warranties of either party or any other Person either expressed or implied with respect to the Revenue Interests or the transactions contemplated hereby. Without limiting the foregoing, the Purchaser Agent and each Purchasers acknowledges and agrees that the Purchaser Agent, each Purchaser and their respective Affiliates, together with their representatives, have made their own investigation of each Included Product and are not relying on any implied warranties or upon any representation or warranty whatsoever as to the future amount or potential amount of the Revenue Interests or as to the creditworthiness of the Company. All representations and warranties by the parties contained in this Agreement shall survive the execution, delivery and acceptance thereof by the parties and the closing of the transactions described in this Agreement and continue in effect until payment of all amounts due to the Purchasers under the Transaction Documents and the termination of this Agreement pursuant to its terms.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8.06 </w:t>
      </w:r>
      <w:r>
        <w:rPr>
          <w:rFonts w:ascii="Times New Roman" w:cs="Times New Roman" w:eastAsia="Times New Roman" w:hAnsi="Times New Roman"/>
          <w:sz w:val="18"/>
          <w:szCs w:val="18"/>
          <w:u w:val="single" w:color="auto"/>
          <w:color w:val="auto"/>
        </w:rPr>
        <w:t>Independent Nature of Relationship</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36"/>
        <w:spacing w:after="0" w:line="256" w:lineRule="auto"/>
        <w:tabs>
          <w:tab w:leader="none" w:pos="68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relationship between the Company, the other Obligors and the Subsidiaries, on the one hand, and the Purchaser Agent and the Purchasers, on the other, is solely that of seller and purchaser, and for U.S. federal income Tax purposes, that of debtor and creditor, and neither the Purchaser Agent and the Purchasers, on the one hand, nor the Obligors and their Subsidiaries, on the other, has any fiduciary or other special relationship with the other or any of their respective Affiliates. Nothing contained herein or in any other Transaction Document shall be deemed to constitute the Company or their Subsidiaries and the Purchaser Agent and the Purchasers as a partnership, an association, a joint venture or other kind of entity or legal form for any purposes, including for any Tax purposes.</w:t>
      </w:r>
    </w:p>
    <w:p>
      <w:pPr>
        <w:spacing w:after="0" w:line="79" w:lineRule="exact"/>
        <w:rPr>
          <w:rFonts w:ascii="Times New Roman" w:cs="Times New Roman" w:eastAsia="Times New Roman" w:hAnsi="Times New Roman"/>
          <w:sz w:val="18"/>
          <w:szCs w:val="18"/>
          <w:color w:val="auto"/>
        </w:rPr>
      </w:pPr>
    </w:p>
    <w:p>
      <w:pPr>
        <w:ind w:right="80" w:firstLine="436"/>
        <w:spacing w:after="0" w:line="261" w:lineRule="auto"/>
        <w:tabs>
          <w:tab w:leader="none" w:pos="69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officer or employee or agent of the Purchaser Agent or any Purchaser will be located at the premises of the Company or any of its Affiliates, except in connection with an inspection or audit performed pursuant to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or in connection with the enforcement of remedies as contemplated by the Transaction Documents. No officer, manager or employee of the Purchaser Agent or any Purchaser shall engage in any commercial activity with the Company or any of its Affiliates other than as contemplated herein and in the other Transaction Documents.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8.07 </w:t>
      </w:r>
      <w:r>
        <w:rPr>
          <w:rFonts w:ascii="Times New Roman" w:cs="Times New Roman" w:eastAsia="Times New Roman" w:hAnsi="Times New Roman"/>
          <w:sz w:val="18"/>
          <w:szCs w:val="18"/>
          <w:u w:val="single" w:color="auto"/>
          <w:color w:val="auto"/>
        </w:rPr>
        <w:t>Entire Agreement.</w:t>
      </w:r>
    </w:p>
    <w:p>
      <w:pPr>
        <w:spacing w:after="0" w:line="2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This Agreement, together with the Exhibits and Schedules hereto (which are incorporated herein by reference), and the other Transaction Documents constitute the entire agreement between the parties with respect to the subject matter hereof and supersede all prior agreements, understandings and negotiations, both written and oral, between the parties with respect to the subject matter of this Agreement. No representation, inducement, promise, understanding, condition or warranty not set forth herein (or in the Exhibits, Schedules or other Transaction Documents) has been made or relied upon by either party hereto. None of this Agreement, nor any provision hereof, is intended to confer upon any Person other than the parties hereto any rights or remedies hereunder.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8.08 </w:t>
      </w:r>
      <w:r>
        <w:rPr>
          <w:rFonts w:ascii="Times New Roman" w:cs="Times New Roman" w:eastAsia="Times New Roman" w:hAnsi="Times New Roman"/>
          <w:sz w:val="18"/>
          <w:szCs w:val="18"/>
          <w:u w:val="single" w:color="auto"/>
          <w:color w:val="auto"/>
        </w:rPr>
        <w:t>Amendments; No Waivers.</w:t>
      </w:r>
    </w:p>
    <w:p>
      <w:pPr>
        <w:spacing w:after="0" w:line="121" w:lineRule="exact"/>
        <w:rPr>
          <w:sz w:val="20"/>
          <w:szCs w:val="20"/>
          <w:color w:val="auto"/>
        </w:rPr>
      </w:pPr>
    </w:p>
    <w:p>
      <w:pPr>
        <w:ind w:right="160" w:firstLine="436"/>
        <w:spacing w:after="0" w:line="266" w:lineRule="auto"/>
        <w:tabs>
          <w:tab w:leader="none" w:pos="68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8.08(b)</w:t>
      </w:r>
      <w:r>
        <w:rPr>
          <w:rFonts w:ascii="Times New Roman" w:cs="Times New Roman" w:eastAsia="Times New Roman" w:hAnsi="Times New Roman"/>
          <w:sz w:val="18"/>
          <w:szCs w:val="18"/>
          <w:color w:val="auto"/>
        </w:rPr>
        <w:t>, this Agreement, the other Transaction Documents or any term or provision hereof or thereof may not be amended, changed or modified except with the written consent of the Company, the Purchaser Agent and the Required Purchasers. No waiver of any right hereunder shall be effective unless such waiver is signed in writing by the party against whom such waiver is sought to be enforced.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20"/>
          </w:cols>
          <w:pgMar w:left="440" w:top="266" w:right="439" w:bottom="1440" w:gutter="0" w:footer="0" w:header="0"/>
        </w:sectPr>
      </w:pPr>
    </w:p>
    <w:bookmarkStart w:id="97" w:name="page98"/>
    <w:bookmarkEnd w:id="97"/>
    <w:p>
      <w:pPr>
        <w:ind w:right="120" w:firstLine="436"/>
        <w:spacing w:after="0" w:line="282" w:lineRule="auto"/>
        <w:tabs>
          <w:tab w:leader="none" w:pos="69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Without the prior written consent of each Purchaser that would be affected thereby, no amendment, modification, termination or consent shall be effective if the effect thereof would:</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reduce or postpone any Revenue Interest Payment;</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modify, terminate or waive any provision of this </w:t>
      </w:r>
      <w:r>
        <w:rPr>
          <w:rFonts w:ascii="Times New Roman" w:cs="Times New Roman" w:eastAsia="Times New Roman" w:hAnsi="Times New Roman"/>
          <w:sz w:val="18"/>
          <w:szCs w:val="18"/>
          <w:u w:val="single" w:color="auto"/>
          <w:color w:val="auto"/>
        </w:rPr>
        <w:t>Section 8.08</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definition of “Required Purchasers” or “Pro Rata Portion”; or</w:t>
      </w:r>
    </w:p>
    <w:p>
      <w:pPr>
        <w:spacing w:after="0" w:line="117"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68"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all or any material portion of the Collateral or release any Obligor from any of its rights and obligations under any Transaction Document (except as expressly provided in the Transaction Documents).</w:t>
      </w:r>
    </w:p>
    <w:p>
      <w:pPr>
        <w:spacing w:after="0" w:line="53" w:lineRule="exact"/>
        <w:rPr>
          <w:rFonts w:ascii="Times New Roman" w:cs="Times New Roman" w:eastAsia="Times New Roman" w:hAnsi="Times New Roman"/>
          <w:sz w:val="18"/>
          <w:szCs w:val="18"/>
          <w:color w:val="auto"/>
        </w:rPr>
      </w:pPr>
    </w:p>
    <w:p>
      <w:pPr>
        <w:ind w:firstLine="436"/>
        <w:spacing w:after="0" w:line="266" w:lineRule="auto"/>
        <w:tabs>
          <w:tab w:leader="none" w:pos="68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by either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8.09 </w:t>
      </w:r>
      <w:r>
        <w:rPr>
          <w:rFonts w:ascii="Times New Roman" w:cs="Times New Roman" w:eastAsia="Times New Roman" w:hAnsi="Times New Roman"/>
          <w:sz w:val="18"/>
          <w:szCs w:val="18"/>
          <w:u w:val="single" w:color="auto"/>
          <w:color w:val="auto"/>
        </w:rPr>
        <w:t>Interpretation.</w:t>
      </w:r>
    </w:p>
    <w:p>
      <w:pPr>
        <w:spacing w:after="0" w:line="229"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When a reference is made in this Agreement to </w:t>
      </w:r>
      <w:r>
        <w:rPr>
          <w:rFonts w:ascii="Times New Roman" w:cs="Times New Roman" w:eastAsia="Times New Roman" w:hAnsi="Times New Roman"/>
          <w:sz w:val="18"/>
          <w:szCs w:val="18"/>
          <w:u w:val="single" w:color="auto"/>
          <w:color w:val="auto"/>
        </w:rPr>
        <w:t>Articles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 xml:space="preserve">, such reference shall be to an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to this Agreement unless otherwise indicated. The words “include”, “includes” and “including” when used herein shall be deemed in each case to be followed by the words “without limitation”. Neither party hereto shall be or be deemed to be the drafter of this Agreement for the purposes of construing this Agreement against one party or the other.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8.10 </w:t>
      </w:r>
      <w:r>
        <w:rPr>
          <w:rFonts w:ascii="Times New Roman" w:cs="Times New Roman" w:eastAsia="Times New Roman" w:hAnsi="Times New Roman"/>
          <w:sz w:val="18"/>
          <w:szCs w:val="18"/>
          <w:u w:val="single" w:color="auto"/>
          <w:color w:val="auto"/>
        </w:rPr>
        <w:t>Headings and Captions.</w:t>
      </w:r>
    </w:p>
    <w:p>
      <w:pPr>
        <w:spacing w:after="0" w:line="229"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The headings and captions in this Agreement are for convenience and reference purposes only and shall not be considered a part of or affect the construction or interpretation of any provision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8.11 </w:t>
      </w:r>
      <w:r>
        <w:rPr>
          <w:rFonts w:ascii="Times New Roman" w:cs="Times New Roman" w:eastAsia="Times New Roman" w:hAnsi="Times New Roman"/>
          <w:sz w:val="18"/>
          <w:szCs w:val="18"/>
          <w:u w:val="single" w:color="auto"/>
          <w:color w:val="auto"/>
        </w:rPr>
        <w:t>Counterparts; Effectiveness; Electronic Signature.</w:t>
      </w:r>
    </w:p>
    <w:p>
      <w:pPr>
        <w:spacing w:after="0" w:line="229"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This Agreement may be executed in two or more counterparts, each of which shall be an original, but all of which together shall constitute one and the same instrument. This Agreement shall become effective when each party hereto shall have received a counterpart hereof signed by the other parties hereto. Any counterpart may be executed by facsimile or pdf signature and such facsimile or pdf signature shall be deemed an original. The words ‘execution’, ‘signed’, ‘signature’, ‘delivery’ and words of like import in or relating to any document to be signed in connection with this Agreement or any other Transaction Document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nothing herein shall require any Person to accept electronic signatures in any form or format without its prior written consent. Without limiting the generality of the foregoing, the parties hereto hereby (a) agree that, for all purposes, including in connection with any workout, restructuring, enforcement of remedies, bankruptcy proceedings or litigation among the Purchasers and the Obligors, electronic images of this Agreement or any other Transaction Document (in each case, including with respect to any signature pages thereto) shall have the same legal effect, validity and enforceability as any paper original, and (b) waive any argument, defense or right to contest the validity or enforceability of the Transaction Documents based solely on the lack of paper original copies of any Transaction Documents, including with respect to any signature pages thereto.</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00"/>
          </w:cols>
          <w:pgMar w:left="440" w:top="270"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8.12 </w:t>
      </w:r>
      <w:r>
        <w:rPr>
          <w:rFonts w:ascii="Times New Roman" w:cs="Times New Roman" w:eastAsia="Times New Roman" w:hAnsi="Times New Roman"/>
          <w:sz w:val="18"/>
          <w:szCs w:val="18"/>
          <w:u w:val="single" w:color="auto"/>
          <w:color w:val="auto"/>
        </w:rPr>
        <w:t>Severability.</w:t>
      </w:r>
    </w:p>
    <w:p>
      <w:pPr>
        <w:spacing w:after="0" w:line="229"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If any provision of this Agreement is held to be invalid or unenforceable, the remaining provisions shall nevertheless be given full force and effect.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8.13 </w:t>
      </w:r>
      <w:r>
        <w:rPr>
          <w:rFonts w:ascii="Times New Roman" w:cs="Times New Roman" w:eastAsia="Times New Roman" w:hAnsi="Times New Roman"/>
          <w:sz w:val="18"/>
          <w:szCs w:val="18"/>
          <w:u w:val="single" w:color="auto"/>
          <w:color w:val="auto"/>
        </w:rPr>
        <w:t>Expenses.</w:t>
      </w:r>
    </w:p>
    <w:p>
      <w:pPr>
        <w:spacing w:after="0" w:line="229"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Obligors will pay all of their own fees and expenses in connection with entering into and consummating the transactions contemplated by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8.14 </w:t>
      </w:r>
      <w:r>
        <w:rPr>
          <w:rFonts w:ascii="Times New Roman" w:cs="Times New Roman" w:eastAsia="Times New Roman" w:hAnsi="Times New Roman"/>
          <w:sz w:val="18"/>
          <w:szCs w:val="18"/>
          <w:u w:val="single" w:color="auto"/>
          <w:color w:val="auto"/>
        </w:rPr>
        <w:t>Governing Law; Jurisdiction.</w:t>
      </w:r>
    </w:p>
    <w:p>
      <w:pPr>
        <w:spacing w:after="0" w:line="121" w:lineRule="exact"/>
        <w:rPr>
          <w:sz w:val="20"/>
          <w:szCs w:val="20"/>
          <w:color w:val="auto"/>
        </w:rPr>
      </w:pPr>
    </w:p>
    <w:p>
      <w:pPr>
        <w:ind w:right="120" w:firstLine="436"/>
        <w:spacing w:after="0" w:line="282" w:lineRule="auto"/>
        <w:tabs>
          <w:tab w:leader="none" w:pos="68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interpreted and enforced in accordance with, the laws of the state of New York, without giving effect to the principles of conflicts of law thereof.</w:t>
      </w:r>
    </w:p>
    <w:p>
      <w:pPr>
        <w:spacing w:after="0" w:line="53" w:lineRule="exact"/>
        <w:rPr>
          <w:rFonts w:ascii="Times New Roman" w:cs="Times New Roman" w:eastAsia="Times New Roman" w:hAnsi="Times New Roman"/>
          <w:sz w:val="18"/>
          <w:szCs w:val="18"/>
          <w:color w:val="auto"/>
        </w:rPr>
      </w:pPr>
    </w:p>
    <w:p>
      <w:pPr>
        <w:ind w:firstLine="436"/>
        <w:spacing w:after="0" w:line="277" w:lineRule="auto"/>
        <w:tabs>
          <w:tab w:leader="none" w:pos="695"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legal action or proceeding with respect to this Agreement or any other Transaction Document may be brought in any state or federal court of competent jurisdiction in the State of New York, County of New York. By execution and delivery of this Agreement, each party hereto hereby irrevocably consents to and accepts, for itself and in respect of its property, generally and unconditionally the non-exclusive jurisdiction of such courts. Each party hereto hereby further irrevocably waives any objection, including any objection to the laying of venue or based on the grounds of forum non conveniens, which it may now or hereafter have to the bringing of any action or proceeding in such jurisdiction in respect of any Transaction Document.</w:t>
      </w:r>
    </w:p>
    <w:p>
      <w:pPr>
        <w:spacing w:after="0" w:line="59" w:lineRule="exact"/>
        <w:rPr>
          <w:rFonts w:ascii="Times New Roman" w:cs="Times New Roman" w:eastAsia="Times New Roman" w:hAnsi="Times New Roman"/>
          <w:sz w:val="17"/>
          <w:szCs w:val="17"/>
          <w:color w:val="auto"/>
        </w:rPr>
      </w:pPr>
    </w:p>
    <w:p>
      <w:pPr>
        <w:ind w:right="20" w:firstLine="436"/>
        <w:spacing w:after="0" w:line="258" w:lineRule="auto"/>
        <w:tabs>
          <w:tab w:leader="none" w:pos="68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hereto hereby irrevocably consents to the service of process out of any of the courts referred to in clause (b) of this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in any such suit, action or proceeding by the mailing of copies thereof by registered or certified mail, postage prepaid, to it at its address set forth in this Agreement. Each party hereto hereby irrevocably waives any objection to such service of process and further irrevocably waives and agrees not to plead or claim in any suit, action or proceeding commenced hereunder or under any other Transaction Document that service of process was in any way invalid or ineffective. Nothing herein shall affect the right of a party to serve process on the other party in any other manner permitted by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8.15 </w:t>
      </w:r>
      <w:r>
        <w:rPr>
          <w:rFonts w:ascii="Times New Roman" w:cs="Times New Roman" w:eastAsia="Times New Roman" w:hAnsi="Times New Roman"/>
          <w:sz w:val="18"/>
          <w:szCs w:val="18"/>
          <w:u w:val="single" w:color="auto"/>
          <w:color w:val="auto"/>
        </w:rPr>
        <w:t>Waiver of Jury Trial.</w:t>
      </w:r>
    </w:p>
    <w:p>
      <w:pPr>
        <w:spacing w:after="0" w:line="229"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t>EACH PARTY HERETO HEREBY IRREVOCABLY WAIVES, TO THE FULLEST EXTENT PERMITTED BY APPLICABLE LAW, ANY AND ALL RIGHT TO TRIAL BY JURY IN ANY ACTION, PROCEEDING, CLAIM OR COUNTERCLAIM ARISING OUT OF OR RELATING TO ANY TRANSACTION DOCUMENT OR THE TRANSACTIONS CONTEMPLATED UNDER ANY TRANSACTION DOCUMENT. THIS WAIVER SHALL APPLY TO ANY SUBSEQUENT AMENDMENTS, RENEWALS, SUPPLEMENTS OR MODIFICATIONS TO ANY TRANSACTION DOCUMENT.</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980"/>
          </w:cols>
          <w:pgMar w:left="440" w:top="266" w:right="479" w:bottom="1440" w:gutter="0" w:footer="0" w:header="0"/>
        </w:sectPr>
      </w:pPr>
    </w:p>
    <w:bookmarkStart w:id="99" w:name="page100"/>
    <w:bookmarkEnd w:id="99"/>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caused this Agreement to be duly executed by their respective authorized officers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above written.</w:t>
      </w:r>
    </w:p>
    <w:p>
      <w:pPr>
        <w:sectPr>
          <w:pgSz w:w="11900" w:h="16838" w:orient="portrait"/>
          <w:cols w:equalWidth="0" w:num="1">
            <w:col w:w="10760"/>
          </w:cols>
          <w:pgMar w:left="440" w:top="266" w:right="699" w:bottom="1440" w:gutter="0" w:footer="0" w:header="0"/>
        </w:sectPr>
      </w:pP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IMMUNITYBIO, INC.</w:t>
      </w:r>
    </w:p>
    <w:p>
      <w:pPr>
        <w:spacing w:after="0" w:line="200" w:lineRule="exact"/>
        <w:rPr>
          <w:sz w:val="20"/>
          <w:szCs w:val="20"/>
          <w:color w:val="auto"/>
        </w:rPr>
      </w:pPr>
    </w:p>
    <w:p>
      <w:pPr>
        <w:sectPr>
          <w:pgSz w:w="11900" w:h="16838" w:orient="portrait"/>
          <w:cols w:equalWidth="0" w:num="2">
            <w:col w:w="4900" w:space="720"/>
            <w:col w:w="5140"/>
          </w:cols>
          <w:pgMar w:left="440" w:top="266" w:right="699" w:bottom="1440" w:gutter="0" w:footer="0" w:header="0"/>
          <w:type w:val="continuous"/>
        </w:sectPr>
      </w:pPr>
    </w:p>
    <w:p>
      <w:pPr>
        <w:spacing w:after="0" w:line="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760"/>
          </w:cols>
          <w:pgMar w:left="440" w:top="266" w:right="699"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PURCHASER AGENT: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3700"/>
        <w:spacing w:after="0"/>
        <w:rPr>
          <w:sz w:val="20"/>
          <w:szCs w:val="20"/>
          <w:color w:val="auto"/>
        </w:rPr>
      </w:pPr>
      <w:r>
        <w:rPr>
          <w:rFonts w:ascii="Times New Roman" w:cs="Times New Roman" w:eastAsia="Times New Roman" w:hAnsi="Times New Roman"/>
          <w:sz w:val="17"/>
          <w:szCs w:val="17"/>
          <w:color w:val="auto"/>
        </w:rPr>
        <w:t>INFINITY SA LLC</w:t>
      </w:r>
    </w:p>
    <w:p>
      <w:pPr>
        <w:spacing w:after="0" w:line="200" w:lineRule="exact"/>
        <w:rPr>
          <w:sz w:val="20"/>
          <w:szCs w:val="20"/>
          <w:color w:val="auto"/>
        </w:rPr>
      </w:pPr>
    </w:p>
    <w:p>
      <w:pPr>
        <w:sectPr>
          <w:pgSz w:w="11900" w:h="16838" w:orient="portrait"/>
          <w:cols w:equalWidth="0" w:num="2">
            <w:col w:w="4900" w:space="720"/>
            <w:col w:w="5140"/>
          </w:cols>
          <w:pgMar w:left="440" w:top="266" w:right="699" w:bottom="1440" w:gutter="0" w:footer="0" w:header="0"/>
          <w:type w:val="continuous"/>
        </w:sectPr>
      </w:pPr>
    </w:p>
    <w:p>
      <w:pPr>
        <w:spacing w:after="0" w:line="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David Dubinsky</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Title: Authorized Signatory</w:t>
      </w:r>
    </w:p>
    <w:p>
      <w:pPr>
        <w:sectPr>
          <w:pgSz w:w="11900" w:h="16838" w:orient="portrait"/>
          <w:cols w:equalWidth="0" w:num="1">
            <w:col w:w="10760"/>
          </w:cols>
          <w:pgMar w:left="440" w:top="266" w:right="699"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PURCHASERS: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TPC INVESTMENTS II LP</w:t>
      </w:r>
    </w:p>
    <w:p>
      <w:pPr>
        <w:spacing w:after="0" w:line="200" w:lineRule="exact"/>
        <w:rPr>
          <w:sz w:val="20"/>
          <w:szCs w:val="20"/>
          <w:color w:val="auto"/>
        </w:rPr>
      </w:pPr>
    </w:p>
    <w:p>
      <w:pPr>
        <w:sectPr>
          <w:pgSz w:w="11900" w:h="16838" w:orient="portrait"/>
          <w:cols w:equalWidth="0" w:num="2">
            <w:col w:w="4900" w:space="720"/>
            <w:col w:w="5140"/>
          </w:cols>
          <w:pgMar w:left="440" w:top="266" w:right="699" w:bottom="1440" w:gutter="0" w:footer="0" w:header="0"/>
          <w:type w:val="continuous"/>
        </w:sectPr>
      </w:pPr>
    </w:p>
    <w:p>
      <w:pPr>
        <w:spacing w:after="0" w:line="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David Dubinsky</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TPC INVESTMENTS III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David Dubinsky</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TPC INVESTMENTS SOLUTIONS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David Dubinsky</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TPC INVESTMENTS SOLUTIONS CO-INVEST LP</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David Dubinsky</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Authorized Signatory</w:t>
      </w:r>
    </w:p>
    <w:p>
      <w:pPr>
        <w:sectPr>
          <w:pgSz w:w="11900" w:h="16838" w:orient="portrait"/>
          <w:cols w:equalWidth="0" w:num="1">
            <w:col w:w="10760"/>
          </w:cols>
          <w:pgMar w:left="440" w:top="266" w:right="699" w:bottom="1440" w:gutter="0" w:footer="0" w:header="0"/>
          <w:type w:val="continuous"/>
        </w:sectPr>
      </w:pPr>
    </w:p>
    <w:bookmarkStart w:id="100" w:name="page101"/>
    <w:bookmarkEnd w:id="100"/>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1.01(b)</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Purchaser Commitments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Purchaser</w:t>
            </w:r>
          </w:p>
        </w:tc>
        <w:tc>
          <w:tcPr>
            <w:tcW w:w="50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Second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5"/>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0000FF"/>
              </w:rPr>
              <w:t>Third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40" w:type="dxa"/>
            <w:vAlign w:val="bottom"/>
            <w:vMerge w:val="continue"/>
          </w:tcPr>
          <w:p>
            <w:pPr>
              <w:spacing w:after="0" w:line="20" w:lineRule="exact"/>
              <w:rPr>
                <w:sz w:val="1"/>
                <w:szCs w:val="1"/>
                <w:color w:val="auto"/>
              </w:rPr>
            </w:pPr>
          </w:p>
        </w:tc>
        <w:tc>
          <w:tcPr>
            <w:tcW w:w="5020" w:type="dxa"/>
            <w:vAlign w:val="bottom"/>
            <w:vMerge w:val="continue"/>
          </w:tcPr>
          <w:p>
            <w:pPr>
              <w:spacing w:after="0" w:line="20" w:lineRule="exact"/>
              <w:rPr>
                <w:sz w:val="1"/>
                <w:szCs w:val="1"/>
                <w:color w:val="auto"/>
              </w:rPr>
            </w:pPr>
          </w:p>
        </w:tc>
        <w:tc>
          <w:tcPr>
            <w:tcW w:w="1160" w:type="dxa"/>
            <w:vAlign w:val="bottom"/>
            <w:gridSpan w:val="3"/>
            <w:vMerge w:val="restart"/>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First Payment</w:t>
            </w:r>
          </w:p>
        </w:tc>
        <w:tc>
          <w:tcPr>
            <w:tcW w:w="100" w:type="dxa"/>
            <w:vAlign w:val="bottom"/>
          </w:tcPr>
          <w:p>
            <w:pPr>
              <w:spacing w:after="0" w:line="20" w:lineRule="exact"/>
              <w:rPr>
                <w:sz w:val="1"/>
                <w:szCs w:val="1"/>
                <w:color w:val="auto"/>
              </w:rPr>
            </w:pPr>
          </w:p>
        </w:tc>
        <w:tc>
          <w:tcPr>
            <w:tcW w:w="940" w:type="dxa"/>
            <w:vAlign w:val="bottom"/>
            <w:gridSpan w:val="2"/>
            <w:vMerge w:val="restart"/>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Payment</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u w:val="single" w:color="auto"/>
                <w:color w:val="0000FF"/>
                <w:w w:val="92"/>
              </w:rPr>
              <w:t>P</w:t>
            </w:r>
          </w:p>
        </w:tc>
        <w:tc>
          <w:tcPr>
            <w:tcW w:w="3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gridSpan w:val="3"/>
            <w:vMerge w:val="restart"/>
          </w:tcPr>
          <w:p>
            <w:pPr>
              <w:ind w:left="68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88"/>
        </w:trPr>
        <w:tc>
          <w:tcPr>
            <w:tcW w:w="640" w:type="dxa"/>
            <w:vAlign w:val="bottom"/>
            <w:tcBorders>
              <w:bottom w:val="single" w:sz="8" w:color="auto"/>
            </w:tcBorders>
            <w:vMerge w:val="continue"/>
          </w:tcPr>
          <w:p>
            <w:pPr>
              <w:spacing w:after="0"/>
              <w:rPr>
                <w:sz w:val="16"/>
                <w:szCs w:val="16"/>
                <w:color w:val="auto"/>
              </w:rPr>
            </w:pPr>
          </w:p>
        </w:tc>
        <w:tc>
          <w:tcPr>
            <w:tcW w:w="5020" w:type="dxa"/>
            <w:vAlign w:val="bottom"/>
            <w:vMerge w:val="continue"/>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tcBorders>
              <w:bottom w:val="single" w:sz="8" w:color="0000FF"/>
            </w:tcBorders>
            <w:vMerge w:val="continue"/>
          </w:tcPr>
          <w:p>
            <w:pPr>
              <w:spacing w:after="0"/>
              <w:rPr>
                <w:sz w:val="16"/>
                <w:szCs w:val="16"/>
                <w:color w:val="auto"/>
              </w:rPr>
            </w:pPr>
          </w:p>
        </w:tc>
        <w:tc>
          <w:tcPr>
            <w:tcW w:w="460" w:type="dxa"/>
            <w:vAlign w:val="bottom"/>
            <w:tcBorders>
              <w:bottom w:val="single" w:sz="8" w:color="0000FF"/>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u w:val="single" w:color="auto"/>
                <w:color w:val="0000FF"/>
                <w:strike w:val="1"/>
                <w:w w:val="99"/>
              </w:rPr>
              <w:t>ayme</w:t>
            </w:r>
            <w:r>
              <w:rPr>
                <w:rFonts w:ascii="Times New Roman" w:cs="Times New Roman" w:eastAsia="Times New Roman" w:hAnsi="Times New Roman"/>
                <w:sz w:val="14"/>
                <w:szCs w:val="14"/>
                <w:b w:val="1"/>
                <w:bCs w:val="1"/>
                <w:color w:val="0000FF"/>
                <w:w w:val="99"/>
              </w:rPr>
              <w:t>nt</w:t>
            </w:r>
          </w:p>
        </w:tc>
        <w:tc>
          <w:tcPr>
            <w:tcW w:w="2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5660" w:type="dxa"/>
            <w:vAlign w:val="bottom"/>
            <w:tcBorders>
              <w:top w:val="single" w:sz="8" w:color="CCEEFF"/>
            </w:tcBorders>
            <w:gridSpan w:val="2"/>
            <w:shd w:val="clear" w:color="auto" w:fill="CCEEFF"/>
          </w:tcPr>
          <w:p>
            <w:pPr>
              <w:spacing w:after="0" w:line="123" w:lineRule="exact"/>
              <w:rPr>
                <w:sz w:val="20"/>
                <w:szCs w:val="20"/>
                <w:color w:val="auto"/>
              </w:rPr>
            </w:pPr>
            <w:r>
              <w:rPr>
                <w:rFonts w:ascii="Times New Roman" w:cs="Times New Roman" w:eastAsia="Times New Roman" w:hAnsi="Times New Roman"/>
                <w:sz w:val="13"/>
                <w:szCs w:val="13"/>
                <w:color w:val="auto"/>
              </w:rPr>
              <w:t>TPC Investments II LP</w:t>
            </w:r>
          </w:p>
        </w:tc>
        <w:tc>
          <w:tcPr>
            <w:tcW w:w="100" w:type="dxa"/>
            <w:vAlign w:val="bottom"/>
            <w:tcBorders>
              <w:top w:val="single" w:sz="8" w:color="auto"/>
            </w:tcBorders>
            <w:shd w:val="clear" w:color="auto" w:fill="CCEEFF"/>
          </w:tcPr>
          <w:p>
            <w:pPr>
              <w:jc w:val="right"/>
              <w:spacing w:after="0" w:line="123"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tcBorders>
            <w:shd w:val="clear" w:color="auto" w:fill="CCEEFF"/>
          </w:tcPr>
          <w:p>
            <w:pPr>
              <w:jc w:val="right"/>
              <w:spacing w:after="0" w:line="123" w:lineRule="exact"/>
              <w:rPr>
                <w:sz w:val="20"/>
                <w:szCs w:val="20"/>
                <w:color w:val="auto"/>
              </w:rPr>
            </w:pPr>
            <w:r>
              <w:rPr>
                <w:rFonts w:ascii="Times New Roman" w:cs="Times New Roman" w:eastAsia="Times New Roman" w:hAnsi="Times New Roman"/>
                <w:sz w:val="13"/>
                <w:szCs w:val="13"/>
                <w:color w:val="auto"/>
              </w:rPr>
              <w:t>20,000,000</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23"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tcBorders>
            <w:shd w:val="clear" w:color="auto" w:fill="CCEEFF"/>
          </w:tcPr>
          <w:p>
            <w:pPr>
              <w:jc w:val="right"/>
              <w:spacing w:after="0" w:line="123" w:lineRule="exact"/>
              <w:rPr>
                <w:sz w:val="20"/>
                <w:szCs w:val="20"/>
                <w:color w:val="auto"/>
              </w:rPr>
            </w:pPr>
            <w:r>
              <w:rPr>
                <w:rFonts w:ascii="Times New Roman" w:cs="Times New Roman" w:eastAsia="Times New Roman" w:hAnsi="Times New Roman"/>
                <w:sz w:val="13"/>
                <w:szCs w:val="13"/>
                <w:color w:val="auto"/>
              </w:rPr>
              <w:t>100,000,000</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23" w:lineRule="exact"/>
              <w:rPr>
                <w:sz w:val="20"/>
                <w:szCs w:val="20"/>
                <w:color w:val="auto"/>
              </w:rPr>
            </w:pPr>
            <w:r>
              <w:rPr>
                <w:rFonts w:ascii="Times New Roman" w:cs="Times New Roman" w:eastAsia="Times New Roman" w:hAnsi="Times New Roman"/>
                <w:sz w:val="13"/>
                <w:szCs w:val="13"/>
                <w:color w:val="0000FF"/>
              </w:rPr>
              <w:t>$</w:t>
            </w: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gridSpan w:val="3"/>
            <w:shd w:val="clear" w:color="auto" w:fill="CCEEFF"/>
          </w:tcPr>
          <w:p>
            <w:pPr>
              <w:spacing w:after="0"/>
              <w:rPr>
                <w:sz w:val="12"/>
                <w:szCs w:val="12"/>
                <w:color w:val="auto"/>
              </w:rPr>
            </w:pPr>
          </w:p>
        </w:tc>
        <w:tc>
          <w:tcPr>
            <w:tcW w:w="180" w:type="dxa"/>
            <w:vAlign w:val="bottom"/>
            <w:tcBorders>
              <w:top w:val="single" w:sz="8" w:color="auto"/>
            </w:tcBorders>
            <w:gridSpan w:val="2"/>
            <w:shd w:val="clear" w:color="auto" w:fill="CCEEFF"/>
          </w:tcPr>
          <w:p>
            <w:pPr>
              <w:jc w:val="right"/>
              <w:spacing w:after="0" w:line="123" w:lineRule="exact"/>
              <w:rPr>
                <w:sz w:val="20"/>
                <w:szCs w:val="20"/>
                <w:color w:val="auto"/>
              </w:rPr>
            </w:pPr>
            <w:r>
              <w:rPr>
                <w:rFonts w:ascii="Times New Roman" w:cs="Times New Roman" w:eastAsia="Times New Roman" w:hAnsi="Times New Roman"/>
                <w:sz w:val="13"/>
                <w:szCs w:val="13"/>
                <w:color w:val="0000FF"/>
              </w:rPr>
              <w:t>0</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23" w:lineRule="exact"/>
              <w:rPr>
                <w:sz w:val="20"/>
                <w:szCs w:val="20"/>
                <w:color w:val="auto"/>
              </w:rPr>
            </w:pPr>
            <w:r>
              <w:rPr>
                <w:rFonts w:ascii="Times New Roman" w:cs="Times New Roman" w:eastAsia="Times New Roman" w:hAnsi="Times New Roman"/>
                <w:sz w:val="13"/>
                <w:szCs w:val="13"/>
                <w:color w:val="auto"/>
                <w:w w:val="91"/>
              </w:rPr>
              <w:t>$</w:t>
            </w:r>
          </w:p>
        </w:tc>
        <w:tc>
          <w:tcPr>
            <w:tcW w:w="1800" w:type="dxa"/>
            <w:vAlign w:val="bottom"/>
            <w:tcBorders>
              <w:top w:val="single" w:sz="8" w:color="auto"/>
            </w:tcBorders>
            <w:gridSpan w:val="2"/>
            <w:shd w:val="clear" w:color="auto" w:fill="CCEEFF"/>
          </w:tcPr>
          <w:p>
            <w:pPr>
              <w:jc w:val="right"/>
              <w:spacing w:after="0" w:line="123" w:lineRule="exact"/>
              <w:rPr>
                <w:sz w:val="20"/>
                <w:szCs w:val="20"/>
                <w:color w:val="auto"/>
              </w:rPr>
            </w:pPr>
            <w:r>
              <w:rPr>
                <w:rFonts w:ascii="Times New Roman" w:cs="Times New Roman" w:eastAsia="Times New Roman" w:hAnsi="Times New Roman"/>
                <w:sz w:val="13"/>
                <w:szCs w:val="13"/>
                <w:color w:val="auto"/>
              </w:rPr>
              <w:t>120,000,000</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gridSpan w:val="2"/>
            <w:vMerge w:val="restart"/>
          </w:tcPr>
          <w:p>
            <w:pPr>
              <w:spacing w:after="0" w:line="176" w:lineRule="exact"/>
              <w:rPr>
                <w:sz w:val="20"/>
                <w:szCs w:val="20"/>
                <w:color w:val="auto"/>
              </w:rPr>
            </w:pPr>
            <w:r>
              <w:rPr>
                <w:rFonts w:ascii="Times New Roman" w:cs="Times New Roman" w:eastAsia="Times New Roman" w:hAnsi="Times New Roman"/>
                <w:sz w:val="18"/>
                <w:szCs w:val="18"/>
                <w:color w:val="auto"/>
              </w:rPr>
              <w:t>TPC Investments III LP</w:t>
            </w:r>
          </w:p>
        </w:tc>
        <w:tc>
          <w:tcPr>
            <w:tcW w:w="100" w:type="dxa"/>
            <w:vAlign w:val="bottom"/>
            <w:tcBorders>
              <w:top w:val="single" w:sz="8" w:color="CCEEFF"/>
              <w:bottom w:val="single" w:sz="8" w:color="CCEEFF"/>
            </w:tcBorders>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CCEEFF"/>
              <w:bottom w:val="single" w:sz="8" w:color="CCEEFF"/>
            </w:tcBorders>
            <w:gridSpan w:val="2"/>
            <w:vMerge w:val="restart"/>
          </w:tcPr>
          <w:p>
            <w:pPr>
              <w:jc w:val="right"/>
              <w:ind w:right="160"/>
              <w:spacing w:after="0" w:line="176" w:lineRule="exact"/>
              <w:rPr>
                <w:sz w:val="20"/>
                <w:szCs w:val="20"/>
                <w:color w:val="auto"/>
              </w:rPr>
            </w:pPr>
            <w:r>
              <w:rPr>
                <w:rFonts w:ascii="Times New Roman" w:cs="Times New Roman" w:eastAsia="Times New Roman" w:hAnsi="Times New Roman"/>
                <w:sz w:val="18"/>
                <w:szCs w:val="18"/>
                <w:color w:val="auto"/>
              </w:rPr>
              <w:t>60,000,000</w:t>
            </w:r>
          </w:p>
        </w:tc>
        <w:tc>
          <w:tcPr>
            <w:tcW w:w="100" w:type="dxa"/>
            <w:vAlign w:val="bottom"/>
            <w:tcBorders>
              <w:top w:val="single" w:sz="8" w:color="CCEEFF"/>
              <w:bottom w:val="single" w:sz="8" w:color="CCEEFF"/>
            </w:tcBorders>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CEEFF"/>
              <w:bottom w:val="single" w:sz="8" w:color="CCEEFF"/>
            </w:tcBorders>
            <w:gridSpan w:val="2"/>
            <w:vMerge w:val="restart"/>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top w:val="single" w:sz="8" w:color="CCEEFF"/>
              <w:bottom w:val="single" w:sz="8" w:color="CCEE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720" w:type="dxa"/>
            <w:vAlign w:val="bottom"/>
            <w:tcBorders>
              <w:top w:val="single" w:sz="8" w:color="CCEEFF"/>
              <w:bottom w:val="single" w:sz="8" w:color="CCEEFF"/>
            </w:tcBorders>
            <w:gridSpan w:val="5"/>
            <w:vMerge w:val="restart"/>
          </w:tcPr>
          <w:p>
            <w:pPr>
              <w:jc w:val="center"/>
              <w:spacing w:after="0" w:line="176" w:lineRule="exact"/>
              <w:rPr>
                <w:sz w:val="20"/>
                <w:szCs w:val="20"/>
                <w:color w:val="auto"/>
              </w:rPr>
            </w:pPr>
            <w:r>
              <w:rPr>
                <w:rFonts w:ascii="Times New Roman" w:cs="Times New Roman" w:eastAsia="Times New Roman" w:hAnsi="Times New Roman"/>
                <w:sz w:val="18"/>
                <w:szCs w:val="18"/>
                <w:color w:val="0000FF"/>
                <w:w w:val="88"/>
              </w:rPr>
              <w:t>55,000,000</w:t>
            </w: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bottom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gridSpan w:val="2"/>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CEEFF"/>
              <w:bottom w:val="single" w:sz="8" w:color="CCEEFF"/>
            </w:tcBorders>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60,000,000</w:t>
            </w:r>
          </w:p>
        </w:tc>
        <w:tc>
          <w:tcPr>
            <w:tcW w:w="880" w:type="dxa"/>
            <w:vAlign w:val="bottom"/>
            <w:tcBorders>
              <w:top w:val="single" w:sz="8" w:color="CCEEFF"/>
              <w:bottom w:val="single" w:sz="8" w:color="CCEEFF"/>
            </w:tcBorders>
            <w:gridSpan w:val="2"/>
            <w:vMerge w:val="restart"/>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FF"/>
                <w:w w:val="88"/>
              </w:rPr>
              <w:t>115,000,000</w:t>
            </w:r>
          </w:p>
        </w:tc>
        <w:tc>
          <w:tcPr>
            <w:tcW w:w="0" w:type="dxa"/>
            <w:vAlign w:val="bottom"/>
          </w:tcPr>
          <w:p>
            <w:pPr>
              <w:spacing w:after="0" w:line="20" w:lineRule="exact"/>
              <w:rPr>
                <w:sz w:val="1"/>
                <w:szCs w:val="1"/>
                <w:color w:val="auto"/>
              </w:rPr>
            </w:pPr>
          </w:p>
        </w:tc>
      </w:tr>
      <w:tr>
        <w:trPr>
          <w:trHeight w:val="136"/>
        </w:trPr>
        <w:tc>
          <w:tcPr>
            <w:tcW w:w="566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jc w:val="right"/>
              <w:spacing w:after="0" w:line="136" w:lineRule="exact"/>
              <w:rPr>
                <w:sz w:val="20"/>
                <w:szCs w:val="20"/>
                <w:color w:val="auto"/>
              </w:rPr>
            </w:pPr>
            <w:r>
              <w:rPr>
                <w:rFonts w:ascii="Times New Roman" w:cs="Times New Roman" w:eastAsia="Times New Roman" w:hAnsi="Times New Roman"/>
                <w:sz w:val="15"/>
                <w:szCs w:val="15"/>
                <w:color w:val="0000FF"/>
              </w:rPr>
              <w:t>$</w:t>
            </w:r>
          </w:p>
        </w:tc>
        <w:tc>
          <w:tcPr>
            <w:tcW w:w="72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gridSpan w:val="2"/>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640" w:type="dxa"/>
            <w:vAlign w:val="bottom"/>
            <w:tcBorders>
              <w:bottom w:val="single" w:sz="8" w:color="CCEEFF"/>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36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100" w:type="dxa"/>
            <w:vAlign w:val="bottom"/>
            <w:tcBorders>
              <w:top w:val="single" w:sz="8" w:color="0000FF"/>
              <w:bottom w:val="single" w:sz="8" w:color="0000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820" w:type="dxa"/>
            <w:vAlign w:val="bottom"/>
            <w:tcBorders>
              <w:top w:val="single" w:sz="8" w:color="0000FF"/>
              <w:bottom w:val="single" w:sz="8" w:color="0000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66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7"/>
                <w:szCs w:val="17"/>
                <w:color w:val="auto"/>
              </w:rPr>
              <w:t>TPC Investments Solutions LLC</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7"/>
                <w:szCs w:val="17"/>
                <w:color w:val="auto"/>
              </w:rPr>
              <w:t>97,500,000</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7"/>
                <w:szCs w:val="17"/>
                <w:color w:val="auto"/>
              </w:rPr>
              <w:t>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0000FF"/>
                <w:w w:val="93"/>
              </w:rPr>
              <w:t>$</w:t>
            </w:r>
          </w:p>
        </w:tc>
        <w:tc>
          <w:tcPr>
            <w:tcW w:w="820" w:type="dxa"/>
            <w:vAlign w:val="bottom"/>
            <w:gridSpan w:val="6"/>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0000FF"/>
              </w:rPr>
              <w:t>0</w:t>
            </w:r>
          </w:p>
        </w:tc>
        <w:tc>
          <w:tcPr>
            <w:tcW w:w="8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right w:val="single" w:sz="8" w:color="CCEEFF"/>
            </w:tcBorders>
            <w:shd w:val="clear" w:color="auto" w:fill="CCEEFF"/>
          </w:tcPr>
          <w:p>
            <w:pPr>
              <w:spacing w:after="0"/>
              <w:rPr>
                <w:sz w:val="14"/>
                <w:szCs w:val="14"/>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97,500,000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gridSpan w:val="2"/>
            <w:vMerge w:val="restart"/>
          </w:tcPr>
          <w:p>
            <w:pPr>
              <w:ind w:left="360"/>
              <w:spacing w:after="0" w:line="176" w:lineRule="exact"/>
              <w:rPr>
                <w:sz w:val="20"/>
                <w:szCs w:val="20"/>
                <w:color w:val="auto"/>
              </w:rPr>
            </w:pPr>
            <w:r>
              <w:rPr>
                <w:rFonts w:ascii="Times New Roman" w:cs="Times New Roman" w:eastAsia="Times New Roman" w:hAnsi="Times New Roman"/>
                <w:sz w:val="18"/>
                <w:szCs w:val="18"/>
                <w:color w:val="auto"/>
              </w:rPr>
              <w:t>TPC Investments Solutions Co-Invest LP</w:t>
            </w:r>
          </w:p>
        </w:tc>
        <w:tc>
          <w:tcPr>
            <w:tcW w:w="100" w:type="dxa"/>
            <w:vAlign w:val="bottom"/>
            <w:tcBorders>
              <w:top w:val="single" w:sz="8" w:color="CCEEFF"/>
              <w:bottom w:val="single" w:sz="8" w:color="CCEEFF"/>
            </w:tcBorders>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CCEEFF"/>
              <w:bottom w:val="single" w:sz="8" w:color="CCEEFF"/>
            </w:tcBorders>
            <w:gridSpan w:val="2"/>
            <w:vMerge w:val="restart"/>
          </w:tcPr>
          <w:p>
            <w:pPr>
              <w:jc w:val="right"/>
              <w:ind w:right="160"/>
              <w:spacing w:after="0" w:line="176" w:lineRule="exact"/>
              <w:rPr>
                <w:sz w:val="20"/>
                <w:szCs w:val="20"/>
                <w:color w:val="auto"/>
              </w:rPr>
            </w:pPr>
            <w:r>
              <w:rPr>
                <w:rFonts w:ascii="Times New Roman" w:cs="Times New Roman" w:eastAsia="Times New Roman" w:hAnsi="Times New Roman"/>
                <w:sz w:val="18"/>
                <w:szCs w:val="18"/>
                <w:color w:val="auto"/>
              </w:rPr>
              <w:t>22,500,000</w:t>
            </w:r>
          </w:p>
        </w:tc>
        <w:tc>
          <w:tcPr>
            <w:tcW w:w="100" w:type="dxa"/>
            <w:vAlign w:val="bottom"/>
            <w:tcBorders>
              <w:top w:val="single" w:sz="8" w:color="CCEEFF"/>
              <w:bottom w:val="single" w:sz="8" w:color="CCEEFF"/>
            </w:tcBorders>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CEEFF"/>
              <w:bottom w:val="single" w:sz="8" w:color="CCEEFF"/>
            </w:tcBorders>
            <w:gridSpan w:val="2"/>
            <w:vMerge w:val="restart"/>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top w:val="single" w:sz="8" w:color="CCEEFF"/>
              <w:bottom w:val="single" w:sz="8" w:color="CCEE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720" w:type="dxa"/>
            <w:vAlign w:val="bottom"/>
            <w:tcBorders>
              <w:top w:val="single" w:sz="8" w:color="CCEEFF"/>
              <w:bottom w:val="single" w:sz="8" w:color="CCEEFF"/>
            </w:tcBorders>
            <w:gridSpan w:val="5"/>
            <w:vMerge w:val="restart"/>
          </w:tcPr>
          <w:p>
            <w:pPr>
              <w:jc w:val="center"/>
              <w:spacing w:after="0" w:line="176" w:lineRule="exact"/>
              <w:rPr>
                <w:sz w:val="20"/>
                <w:szCs w:val="20"/>
                <w:color w:val="auto"/>
              </w:rPr>
            </w:pPr>
            <w:r>
              <w:rPr>
                <w:rFonts w:ascii="Times New Roman" w:cs="Times New Roman" w:eastAsia="Times New Roman" w:hAnsi="Times New Roman"/>
                <w:sz w:val="18"/>
                <w:szCs w:val="18"/>
                <w:color w:val="0000FF"/>
                <w:w w:val="88"/>
              </w:rPr>
              <w:t>20,000,000</w:t>
            </w: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CCEEFF"/>
              <w:bottom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gridSpan w:val="2"/>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CEEFF"/>
              <w:bottom w:val="single" w:sz="8" w:color="CCEEFF"/>
            </w:tcBorders>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22,500,000</w:t>
            </w:r>
          </w:p>
        </w:tc>
        <w:tc>
          <w:tcPr>
            <w:tcW w:w="880" w:type="dxa"/>
            <w:vAlign w:val="bottom"/>
            <w:tcBorders>
              <w:top w:val="single" w:sz="8" w:color="CCEEFF"/>
              <w:bottom w:val="single" w:sz="8" w:color="CCEEFF"/>
            </w:tcBorders>
            <w:gridSpan w:val="2"/>
            <w:vMerge w:val="restart"/>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FF"/>
                <w:w w:val="98"/>
              </w:rPr>
              <w:t>42,500,000</w:t>
            </w:r>
          </w:p>
        </w:tc>
        <w:tc>
          <w:tcPr>
            <w:tcW w:w="0" w:type="dxa"/>
            <w:vAlign w:val="bottom"/>
          </w:tcPr>
          <w:p>
            <w:pPr>
              <w:spacing w:after="0" w:line="20" w:lineRule="exact"/>
              <w:rPr>
                <w:sz w:val="1"/>
                <w:szCs w:val="1"/>
                <w:color w:val="auto"/>
              </w:rPr>
            </w:pPr>
          </w:p>
        </w:tc>
      </w:tr>
      <w:tr>
        <w:trPr>
          <w:trHeight w:val="136"/>
        </w:trPr>
        <w:tc>
          <w:tcPr>
            <w:tcW w:w="566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jc w:val="right"/>
              <w:spacing w:after="0" w:line="136" w:lineRule="exact"/>
              <w:rPr>
                <w:sz w:val="20"/>
                <w:szCs w:val="20"/>
                <w:color w:val="auto"/>
              </w:rPr>
            </w:pPr>
            <w:r>
              <w:rPr>
                <w:rFonts w:ascii="Times New Roman" w:cs="Times New Roman" w:eastAsia="Times New Roman" w:hAnsi="Times New Roman"/>
                <w:sz w:val="15"/>
                <w:szCs w:val="15"/>
                <w:color w:val="0000FF"/>
              </w:rPr>
              <w:t>$</w:t>
            </w:r>
          </w:p>
        </w:tc>
        <w:tc>
          <w:tcPr>
            <w:tcW w:w="72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gridSpan w:val="2"/>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6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gridSpan w:val="2"/>
            <w:shd w:val="clear" w:color="auto" w:fill="CCEEFF"/>
          </w:tcPr>
          <w:p>
            <w:pPr>
              <w:ind w:left="360"/>
              <w:spacing w:after="0" w:line="163" w:lineRule="exact"/>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CCEEFF"/>
          </w:tcPr>
          <w:p>
            <w:pPr>
              <w:jc w:val="right"/>
              <w:spacing w:after="0" w:line="163" w:lineRule="exact"/>
              <w:rPr>
                <w:sz w:val="20"/>
                <w:szCs w:val="20"/>
                <w:color w:val="auto"/>
              </w:rPr>
            </w:pPr>
            <w:r>
              <w:rPr>
                <w:rFonts w:ascii="Times New Roman" w:cs="Times New Roman" w:eastAsia="Times New Roman" w:hAnsi="Times New Roman"/>
                <w:sz w:val="18"/>
                <w:szCs w:val="18"/>
                <w:u w:val="single" w:color="auto"/>
                <w:color w:val="auto"/>
                <w:w w:val="88"/>
              </w:rPr>
              <w:t>$</w:t>
            </w:r>
          </w:p>
        </w:tc>
        <w:tc>
          <w:tcPr>
            <w:tcW w:w="1060" w:type="dxa"/>
            <w:vAlign w:val="bottom"/>
            <w:gridSpan w:val="2"/>
            <w:shd w:val="clear" w:color="auto" w:fill="CCEEFF"/>
          </w:tcPr>
          <w:p>
            <w:pPr>
              <w:jc w:val="right"/>
              <w:ind w:right="160"/>
              <w:spacing w:after="0" w:line="163" w:lineRule="exact"/>
              <w:rPr>
                <w:sz w:val="20"/>
                <w:szCs w:val="20"/>
                <w:color w:val="auto"/>
              </w:rPr>
            </w:pPr>
            <w:r>
              <w:rPr>
                <w:rFonts w:ascii="Times New Roman" w:cs="Times New Roman" w:eastAsia="Times New Roman" w:hAnsi="Times New Roman"/>
                <w:sz w:val="18"/>
                <w:szCs w:val="18"/>
                <w:color w:val="auto"/>
                <w:w w:val="97"/>
              </w:rPr>
              <w:t>200,000,000</w:t>
            </w:r>
          </w:p>
        </w:tc>
        <w:tc>
          <w:tcPr>
            <w:tcW w:w="100" w:type="dxa"/>
            <w:vAlign w:val="bottom"/>
            <w:shd w:val="clear" w:color="auto" w:fill="CCEEFF"/>
          </w:tcPr>
          <w:p>
            <w:pPr>
              <w:jc w:val="right"/>
              <w:spacing w:after="0" w:line="163" w:lineRule="exact"/>
              <w:rPr>
                <w:sz w:val="20"/>
                <w:szCs w:val="20"/>
                <w:color w:val="auto"/>
              </w:rPr>
            </w:pPr>
            <w:r>
              <w:rPr>
                <w:rFonts w:ascii="Times New Roman" w:cs="Times New Roman" w:eastAsia="Times New Roman" w:hAnsi="Times New Roman"/>
                <w:sz w:val="18"/>
                <w:szCs w:val="18"/>
                <w:u w:val="single" w:color="auto"/>
                <w:color w:val="auto"/>
                <w:w w:val="88"/>
              </w:rPr>
              <w:t>$</w:t>
            </w:r>
          </w:p>
        </w:tc>
        <w:tc>
          <w:tcPr>
            <w:tcW w:w="940" w:type="dxa"/>
            <w:vAlign w:val="bottom"/>
            <w:gridSpan w:val="2"/>
            <w:shd w:val="clear" w:color="auto" w:fill="CCEEFF"/>
          </w:tcPr>
          <w:p>
            <w:pPr>
              <w:jc w:val="right"/>
              <w:ind w:right="40"/>
              <w:spacing w:after="0" w:line="163" w:lineRule="exact"/>
              <w:rPr>
                <w:sz w:val="20"/>
                <w:szCs w:val="20"/>
                <w:color w:val="auto"/>
              </w:rPr>
            </w:pPr>
            <w:r>
              <w:rPr>
                <w:rFonts w:ascii="Times New Roman" w:cs="Times New Roman" w:eastAsia="Times New Roman" w:hAnsi="Times New Roman"/>
                <w:sz w:val="18"/>
                <w:szCs w:val="18"/>
                <w:color w:val="auto"/>
                <w:w w:val="97"/>
              </w:rPr>
              <w:t>100,000,000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63" w:lineRule="exact"/>
              <w:rPr>
                <w:sz w:val="20"/>
                <w:szCs w:val="20"/>
                <w:color w:val="auto"/>
              </w:rPr>
            </w:pPr>
            <w:r>
              <w:rPr>
                <w:rFonts w:ascii="Times New Roman" w:cs="Times New Roman" w:eastAsia="Times New Roman" w:hAnsi="Times New Roman"/>
                <w:sz w:val="18"/>
                <w:szCs w:val="18"/>
                <w:color w:val="0000FF"/>
                <w:w w:val="88"/>
              </w:rPr>
              <w:t>$</w:t>
            </w:r>
          </w:p>
        </w:tc>
        <w:tc>
          <w:tcPr>
            <w:tcW w:w="820" w:type="dxa"/>
            <w:vAlign w:val="bottom"/>
            <w:gridSpan w:val="6"/>
            <w:shd w:val="clear" w:color="auto" w:fill="CCEEFF"/>
          </w:tcPr>
          <w:p>
            <w:pPr>
              <w:jc w:val="right"/>
              <w:spacing w:after="0" w:line="163" w:lineRule="exact"/>
              <w:rPr>
                <w:sz w:val="20"/>
                <w:szCs w:val="20"/>
                <w:color w:val="auto"/>
              </w:rPr>
            </w:pPr>
            <w:r>
              <w:rPr>
                <w:rFonts w:ascii="Times New Roman" w:cs="Times New Roman" w:eastAsia="Times New Roman" w:hAnsi="Times New Roman"/>
                <w:sz w:val="18"/>
                <w:szCs w:val="18"/>
                <w:color w:val="0000FF"/>
                <w:w w:val="98"/>
              </w:rPr>
              <w:t>75,000,000</w:t>
            </w: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16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CEEFF"/>
            </w:tcBorders>
            <w:shd w:val="clear" w:color="auto" w:fill="CCEEFF"/>
          </w:tcPr>
          <w:p>
            <w:pPr>
              <w:jc w:val="right"/>
              <w:spacing w:after="0" w:line="163" w:lineRule="exact"/>
              <w:rPr>
                <w:sz w:val="20"/>
                <w:szCs w:val="20"/>
                <w:color w:val="auto"/>
              </w:rPr>
            </w:pPr>
            <w:r>
              <w:rPr>
                <w:rFonts w:ascii="Times New Roman" w:cs="Times New Roman" w:eastAsia="Times New Roman" w:hAnsi="Times New Roman"/>
                <w:sz w:val="18"/>
                <w:szCs w:val="18"/>
                <w:color w:val="FF0000"/>
                <w:strike w:val="1"/>
                <w:w w:val="97"/>
              </w:rPr>
              <w:t>300,000,000</w:t>
            </w:r>
          </w:p>
        </w:tc>
        <w:tc>
          <w:tcPr>
            <w:tcW w:w="880" w:type="dxa"/>
            <w:vAlign w:val="bottom"/>
            <w:gridSpan w:val="2"/>
            <w:shd w:val="clear" w:color="auto" w:fill="CCEEFF"/>
          </w:tcPr>
          <w:p>
            <w:pPr>
              <w:jc w:val="right"/>
              <w:ind w:right="60"/>
              <w:spacing w:after="0" w:line="163" w:lineRule="exact"/>
              <w:rPr>
                <w:sz w:val="20"/>
                <w:szCs w:val="20"/>
                <w:color w:val="auto"/>
              </w:rPr>
            </w:pPr>
            <w:r>
              <w:rPr>
                <w:rFonts w:ascii="Times New Roman" w:cs="Times New Roman" w:eastAsia="Times New Roman" w:hAnsi="Times New Roman"/>
                <w:sz w:val="18"/>
                <w:szCs w:val="18"/>
                <w:color w:val="0000FF"/>
                <w:w w:val="88"/>
              </w:rPr>
              <w:t>375,000,000</w:t>
            </w:r>
          </w:p>
        </w:tc>
        <w:tc>
          <w:tcPr>
            <w:tcW w:w="0" w:type="dxa"/>
            <w:vAlign w:val="bottom"/>
          </w:tcPr>
          <w:p>
            <w:pPr>
              <w:spacing w:after="0"/>
              <w:rPr>
                <w:sz w:val="1"/>
                <w:szCs w:val="1"/>
                <w:color w:val="auto"/>
              </w:rPr>
            </w:pPr>
          </w:p>
        </w:tc>
      </w:tr>
      <w:tr>
        <w:trPr>
          <w:trHeight w:val="20"/>
        </w:trPr>
        <w:tc>
          <w:tcPr>
            <w:tcW w:w="64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FF"/>
          </w:tcPr>
          <w:p>
            <w:pPr>
              <w:spacing w:after="0" w:line="20" w:lineRule="exact"/>
              <w:rPr>
                <w:sz w:val="1"/>
                <w:szCs w:val="1"/>
                <w:color w:val="auto"/>
              </w:rPr>
            </w:pPr>
          </w:p>
        </w:tc>
        <w:tc>
          <w:tcPr>
            <w:tcW w:w="80" w:type="dxa"/>
            <w:vAlign w:val="bottom"/>
            <w:tcBorders>
              <w:top w:val="single" w:sz="8" w:color="auto"/>
            </w:tcBorders>
            <w:shd w:val="clear" w:color="auto" w:fill="0000FF"/>
          </w:tcPr>
          <w:p>
            <w:pPr>
              <w:spacing w:after="0" w:line="20" w:lineRule="exact"/>
              <w:rPr>
                <w:sz w:val="1"/>
                <w:szCs w:val="1"/>
                <w:color w:val="auto"/>
              </w:rPr>
            </w:pPr>
          </w:p>
        </w:tc>
        <w:tc>
          <w:tcPr>
            <w:tcW w:w="100" w:type="dxa"/>
            <w:vAlign w:val="bottom"/>
            <w:tcBorders>
              <w:top w:val="single" w:sz="8" w:color="auto"/>
            </w:tcBorders>
            <w:shd w:val="clear" w:color="auto" w:fill="0000FF"/>
          </w:tcPr>
          <w:p>
            <w:pPr>
              <w:spacing w:after="0" w:line="20" w:lineRule="exact"/>
              <w:rPr>
                <w:sz w:val="1"/>
                <w:szCs w:val="1"/>
                <w:color w:val="auto"/>
              </w:rPr>
            </w:pPr>
          </w:p>
        </w:tc>
        <w:tc>
          <w:tcPr>
            <w:tcW w:w="360" w:type="dxa"/>
            <w:vAlign w:val="bottom"/>
            <w:tcBorders>
              <w:top w:val="single" w:sz="8" w:color="auto"/>
            </w:tcBorders>
            <w:shd w:val="clear" w:color="auto" w:fill="0000FF"/>
          </w:tcPr>
          <w:p>
            <w:pPr>
              <w:spacing w:after="0" w:line="20" w:lineRule="exact"/>
              <w:rPr>
                <w:sz w:val="1"/>
                <w:szCs w:val="1"/>
                <w:color w:val="auto"/>
              </w:rPr>
            </w:pPr>
          </w:p>
        </w:tc>
        <w:tc>
          <w:tcPr>
            <w:tcW w:w="100" w:type="dxa"/>
            <w:vAlign w:val="bottom"/>
            <w:tcBorders>
              <w:top w:val="single" w:sz="8" w:color="auto"/>
            </w:tcBorders>
            <w:shd w:val="clear" w:color="auto" w:fill="0000FF"/>
          </w:tcPr>
          <w:p>
            <w:pPr>
              <w:spacing w:after="0" w:line="20" w:lineRule="exact"/>
              <w:rPr>
                <w:sz w:val="1"/>
                <w:szCs w:val="1"/>
                <w:color w:val="auto"/>
              </w:rPr>
            </w:pPr>
          </w:p>
        </w:tc>
        <w:tc>
          <w:tcPr>
            <w:tcW w:w="80" w:type="dxa"/>
            <w:vAlign w:val="bottom"/>
            <w:tcBorders>
              <w:top w:val="single" w:sz="8" w:color="auto"/>
            </w:tcBorders>
            <w:shd w:val="clear" w:color="auto" w:fill="0000FF"/>
          </w:tcPr>
          <w:p>
            <w:pPr>
              <w:spacing w:after="0" w:line="20" w:lineRule="exact"/>
              <w:rPr>
                <w:sz w:val="1"/>
                <w:szCs w:val="1"/>
                <w:color w:val="auto"/>
              </w:rPr>
            </w:pPr>
          </w:p>
        </w:tc>
        <w:tc>
          <w:tcPr>
            <w:tcW w:w="100" w:type="dxa"/>
            <w:vAlign w:val="bottom"/>
            <w:tcBorders>
              <w:top w:val="single" w:sz="8" w:color="auto"/>
            </w:tcBorders>
            <w:shd w:val="clear" w:color="auto" w:fill="0000FF"/>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right w:val="single" w:sz="8" w:color="0000FF"/>
            </w:tcBorders>
          </w:tcPr>
          <w:p>
            <w:pPr>
              <w:spacing w:after="0" w:line="20" w:lineRule="exact"/>
              <w:rPr>
                <w:sz w:val="1"/>
                <w:szCs w:val="1"/>
                <w:color w:val="auto"/>
              </w:rPr>
            </w:pPr>
          </w:p>
        </w:tc>
        <w:tc>
          <w:tcPr>
            <w:tcW w:w="820" w:type="dxa"/>
            <w:vAlign w:val="bottom"/>
            <w:tcBorders>
              <w:top w:val="single" w:sz="8" w:color="auto"/>
            </w:tcBorders>
            <w:shd w:val="clear" w:color="auto" w:fill="0000FF"/>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18"/>
          <w:szCs w:val="18"/>
          <w:b w:val="1"/>
          <w:bCs w:val="1"/>
          <w:color w:val="auto"/>
        </w:rPr>
        <w:t xml:space="preserv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OMPLIANCE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ERTIFICATE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Infinity SA LLC, as Purchaser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IMMUNITYBIO, INC.</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authorized officer[s] ([collectively in the singular, ]”</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of ImmunityBio, Inc., a Delaware corporation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certifies that in accordance with the terms and conditions of the Revenue Interest Purchase Agreement, dated as of December 29, 2023, by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Company, the other Obligors from time to time party thereto, Purchaser Agent, and the Purchasers from time to time party thereto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capitalized terms used but not otherwise defined herein shall have the meanings given to them in the Purchase Agreement),</w:t>
      </w:r>
    </w:p>
    <w:p>
      <w:pPr>
        <w:spacing w:after="0" w:line="99" w:lineRule="exact"/>
        <w:rPr>
          <w:sz w:val="20"/>
          <w:szCs w:val="20"/>
          <w:color w:val="auto"/>
        </w:rPr>
      </w:pPr>
    </w:p>
    <w:p>
      <w:pPr>
        <w:ind w:left="680" w:hanging="244"/>
        <w:spacing w:after="0"/>
        <w:tabs>
          <w:tab w:leader="none" w:pos="6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Obligors are in compliance for the period ended with all required covenants except as noted below; and</w:t>
      </w:r>
    </w:p>
    <w:p>
      <w:pPr>
        <w:spacing w:after="0" w:line="117" w:lineRule="exact"/>
        <w:rPr>
          <w:rFonts w:ascii="Times New Roman" w:cs="Times New Roman" w:eastAsia="Times New Roman" w:hAnsi="Times New Roman"/>
          <w:sz w:val="18"/>
          <w:szCs w:val="18"/>
          <w:color w:val="auto"/>
        </w:rPr>
      </w:pPr>
    </w:p>
    <w:p>
      <w:pPr>
        <w:ind w:right="300" w:firstLine="436"/>
        <w:spacing w:after="0" w:line="282" w:lineRule="auto"/>
        <w:tabs>
          <w:tab w:leader="none" w:pos="69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Put Option Events under the Transaction Documents or any event which, with the giving of notice or passage of time, or both, would constitute a Put Option Event under the Transaction Documents, except as noted below.</w:t>
      </w:r>
    </w:p>
    <w:p>
      <w:pPr>
        <w:spacing w:after="0" w:line="54"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t>Attached are the required documents, if any, supporting our certification(s). The Officer, on behalf of the Obligors, further certifies that (i) the attached financial statements are prepared in accordance with GAAP and are consistently applied from one period to the next except as explained in an accompanying letter or footnotes and except, in the case of unaudited financial statements, for the absence of footnotes and subject to year-end audit adjustments as to the interim financial statements, (ii) the attached financial statements fairly present in all material respects the financial condition and the Company and its Subsidiaries as of the date hereof and their results of operation for the period covered thereby, (iii) the consolidated cash and Cash Equivalents of the Company will be sufficient for 12 months from the issuance date of such financial statements and (iv) the attached projections demonstrating such sufficiency of cash and Cash Equivalents were prepared in good faith based on assumptions believed by the Company to be reasonable as of the date hereof and have been delivered to the Company’s independent certified public accountants.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Please indicate compliance status since the last Compliance Certificate by circling Yes, No, or N/A under “Complies” column.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79"/>
              </w:rPr>
              <w:t>1)</w:t>
            </w:r>
          </w:p>
        </w:tc>
        <w:tc>
          <w:tcPr>
            <w:tcW w:w="3700" w:type="dxa"/>
            <w:vAlign w:val="bottom"/>
          </w:tcPr>
          <w:p>
            <w:pPr>
              <w:ind w:left="1620"/>
              <w:spacing w:after="0"/>
              <w:rPr>
                <w:sz w:val="20"/>
                <w:szCs w:val="20"/>
                <w:color w:val="auto"/>
              </w:rPr>
            </w:pPr>
            <w:r>
              <w:rPr>
                <w:rFonts w:ascii="Times New Roman" w:cs="Times New Roman" w:eastAsia="Times New Roman" w:hAnsi="Times New Roman"/>
                <w:sz w:val="14"/>
                <w:szCs w:val="14"/>
                <w:b w:val="1"/>
                <w:bCs w:val="1"/>
                <w:color w:val="auto"/>
              </w:rPr>
              <w:t>Reporting Covenant</w:t>
            </w:r>
          </w:p>
        </w:tc>
        <w:tc>
          <w:tcPr>
            <w:tcW w:w="4480" w:type="dxa"/>
            <w:vAlign w:val="bottom"/>
          </w:tcPr>
          <w:p>
            <w:pPr>
              <w:ind w:left="218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Complies</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00" w:type="dxa"/>
            <w:vAlign w:val="bottom"/>
            <w:vMerge w:val="continue"/>
          </w:tcPr>
          <w:p>
            <w:pPr>
              <w:spacing w:after="0"/>
              <w:rPr>
                <w:sz w:val="20"/>
                <w:szCs w:val="20"/>
                <w:color w:val="auto"/>
              </w:rPr>
            </w:pPr>
          </w:p>
        </w:tc>
        <w:tc>
          <w:tcPr>
            <w:tcW w:w="3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Quarterly financial statements</w:t>
            </w:r>
          </w:p>
        </w:tc>
        <w:tc>
          <w:tcPr>
            <w:tcW w:w="4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Quarterly within 45 days (first three fiscal quarters)</w:t>
            </w:r>
          </w:p>
        </w:tc>
        <w:tc>
          <w:tcPr>
            <w:tcW w:w="1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Yes</w:t>
            </w: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324"/>
        </w:trPr>
        <w:tc>
          <w:tcPr>
            <w:tcW w:w="5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79"/>
              </w:rPr>
              <w:t>2)</w:t>
            </w:r>
          </w:p>
        </w:tc>
        <w:tc>
          <w:tcPr>
            <w:tcW w:w="3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Annual (audited) financial statements</w:t>
            </w:r>
          </w:p>
        </w:tc>
        <w:tc>
          <w:tcPr>
            <w:tcW w:w="4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Within 90 days after the last day of the fiscal year</w:t>
            </w:r>
          </w:p>
        </w:tc>
        <w:tc>
          <w:tcPr>
            <w:tcW w:w="1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Yes</w:t>
            </w: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324"/>
        </w:trPr>
        <w:tc>
          <w:tcPr>
            <w:tcW w:w="5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79"/>
              </w:rPr>
              <w:t>3)</w:t>
            </w:r>
          </w:p>
        </w:tc>
        <w:tc>
          <w:tcPr>
            <w:tcW w:w="3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Clinical Updates</w:t>
            </w:r>
          </w:p>
        </w:tc>
        <w:tc>
          <w:tcPr>
            <w:tcW w:w="4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Quarterly within 45 days</w:t>
            </w:r>
          </w:p>
        </w:tc>
        <w:tc>
          <w:tcPr>
            <w:tcW w:w="1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Yes</w:t>
            </w: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324"/>
        </w:trPr>
        <w:tc>
          <w:tcPr>
            <w:tcW w:w="5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79"/>
              </w:rPr>
              <w:t>4)</w:t>
            </w:r>
          </w:p>
        </w:tc>
        <w:tc>
          <w:tcPr>
            <w:tcW w:w="3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Regulatory Updates</w:t>
            </w:r>
          </w:p>
        </w:tc>
        <w:tc>
          <w:tcPr>
            <w:tcW w:w="4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Quarterly within 45 days</w:t>
            </w:r>
          </w:p>
        </w:tc>
        <w:tc>
          <w:tcPr>
            <w:tcW w:w="1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Yes</w:t>
            </w: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324"/>
        </w:trPr>
        <w:tc>
          <w:tcPr>
            <w:tcW w:w="5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79"/>
              </w:rPr>
              <w:t>5)</w:t>
            </w:r>
          </w:p>
        </w:tc>
        <w:tc>
          <w:tcPr>
            <w:tcW w:w="3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Updates</w:t>
            </w:r>
          </w:p>
        </w:tc>
        <w:tc>
          <w:tcPr>
            <w:tcW w:w="4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Quarterly within 45 days</w:t>
            </w:r>
          </w:p>
        </w:tc>
        <w:tc>
          <w:tcPr>
            <w:tcW w:w="1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Yes</w:t>
            </w: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02" w:name="page103"/>
    <w:bookmarkEnd w:id="10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Intellectual Property Updates</w:t>
            </w:r>
          </w:p>
        </w:tc>
        <w:tc>
          <w:tcPr>
            <w:tcW w:w="4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Quarterly within 45 days</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Updates to Perfection Certificate</w:t>
            </w:r>
          </w:p>
        </w:tc>
        <w:tc>
          <w:tcPr>
            <w:tcW w:w="4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Quarterly within 45 days</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flow projections</w:t>
            </w:r>
          </w:p>
        </w:tc>
        <w:tc>
          <w:tcPr>
            <w:tcW w:w="4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Quarterly within 45 days</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“DashBoard” report</w:t>
            </w:r>
          </w:p>
        </w:tc>
        <w:tc>
          <w:tcPr>
            <w:tcW w:w="4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Quarterly within 45 days</w:t>
            </w:r>
          </w:p>
        </w:tc>
      </w:tr>
      <w:tr>
        <w:trPr>
          <w:trHeight w:val="306"/>
        </w:trPr>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Annual Projections (prepared on a quarterly basis)</w:t>
            </w:r>
          </w:p>
        </w:tc>
        <w:tc>
          <w:tcPr>
            <w:tcW w:w="42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Annually (within 30 days of FYE) (starting with fiscal</w:t>
            </w:r>
          </w:p>
        </w:tc>
      </w:tr>
      <w:tr>
        <w:trPr>
          <w:trHeight w:val="234"/>
        </w:trPr>
        <w:tc>
          <w:tcPr>
            <w:tcW w:w="50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4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year commencing January 1, 2024)</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Compliance Certificate</w:t>
            </w:r>
          </w:p>
        </w:tc>
        <w:tc>
          <w:tcPr>
            <w:tcW w:w="4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Together with items (1) and (2) above</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Board kit and related materials</w:t>
            </w:r>
          </w:p>
        </w:tc>
        <w:tc>
          <w:tcPr>
            <w:tcW w:w="4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Within 5 Business Days of each board meeting</w:t>
            </w:r>
          </w:p>
        </w:tc>
      </w:tr>
      <w:tr>
        <w:trPr>
          <w:trHeight w:val="306"/>
        </w:trPr>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4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Reconciliation Report</w:t>
            </w:r>
          </w:p>
        </w:tc>
        <w:tc>
          <w:tcPr>
            <w:tcW w:w="4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Quarterly within 45 days after quarter end or 90 days</w:t>
            </w:r>
          </w:p>
        </w:tc>
      </w:tr>
      <w:tr>
        <w:trPr>
          <w:trHeight w:val="234"/>
        </w:trPr>
        <w:tc>
          <w:tcPr>
            <w:tcW w:w="50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4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after year end</w:t>
            </w:r>
          </w:p>
        </w:tc>
      </w:tr>
    </w:tbl>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Other Matters</w:t>
      </w:r>
    </w:p>
    <w:p>
      <w:pPr>
        <w:spacing w:after="0" w:line="31" w:lineRule="exact"/>
        <w:rPr>
          <w:sz w:val="20"/>
          <w:szCs w:val="20"/>
          <w:color w:val="auto"/>
        </w:rPr>
      </w:pPr>
    </w:p>
    <w:p>
      <w:pPr>
        <w:ind w:left="764" w:hanging="764"/>
        <w:spacing w:after="0"/>
        <w:tabs>
          <w:tab w:leader="none" w:pos="764"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Have there been any changes in management since the last Compliance Certificate?</w:t>
      </w:r>
    </w:p>
    <w:p>
      <w:pPr>
        <w:spacing w:after="0" w:line="98" w:lineRule="exact"/>
        <w:rPr>
          <w:rFonts w:ascii="Times New Roman" w:cs="Times New Roman" w:eastAsia="Times New Roman" w:hAnsi="Times New Roman"/>
          <w:sz w:val="18"/>
          <w:szCs w:val="18"/>
          <w:b w:val="1"/>
          <w:bCs w:val="1"/>
          <w:color w:val="auto"/>
        </w:rPr>
      </w:pPr>
    </w:p>
    <w:p>
      <w:pPr>
        <w:ind w:left="764" w:hanging="764"/>
        <w:spacing w:after="0"/>
        <w:tabs>
          <w:tab w:leader="none" w:pos="764"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Have there been any transfers/sales/disposals/retirement of Collateral or IP prohibited by the Purchase Agreement?</w:t>
      </w:r>
    </w:p>
    <w:p>
      <w:pPr>
        <w:spacing w:after="0" w:line="117" w:lineRule="exact"/>
        <w:rPr>
          <w:rFonts w:ascii="Times New Roman" w:cs="Times New Roman" w:eastAsia="Times New Roman" w:hAnsi="Times New Roman"/>
          <w:sz w:val="18"/>
          <w:szCs w:val="18"/>
          <w:b w:val="1"/>
          <w:bCs w:val="1"/>
          <w:color w:val="auto"/>
        </w:rPr>
      </w:pPr>
    </w:p>
    <w:p>
      <w:pPr>
        <w:ind w:left="764" w:right="380" w:hanging="764"/>
        <w:spacing w:after="0" w:line="282" w:lineRule="auto"/>
        <w:tabs>
          <w:tab w:leader="none" w:pos="764"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Have there been any new or pending actions, audits, suits, investigations or proceedings initiated or threatened in writing against any Obligor?</w:t>
      </w:r>
    </w:p>
    <w:p>
      <w:pPr>
        <w:spacing w:after="0" w:line="53" w:lineRule="exact"/>
        <w:rPr>
          <w:rFonts w:ascii="Times New Roman" w:cs="Times New Roman" w:eastAsia="Times New Roman" w:hAnsi="Times New Roman"/>
          <w:sz w:val="18"/>
          <w:szCs w:val="18"/>
          <w:b w:val="1"/>
          <w:bCs w:val="1"/>
          <w:color w:val="auto"/>
        </w:rPr>
      </w:pPr>
    </w:p>
    <w:p>
      <w:pPr>
        <w:ind w:left="764" w:right="260" w:hanging="764"/>
        <w:spacing w:after="0" w:line="282" w:lineRule="auto"/>
        <w:tabs>
          <w:tab w:leader="none" w:pos="764"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Have there been any amendments of or other changes to the Organization Documents of the Company or any of its Subsidiaries? If yes, provide copies of any such amendments or changes with this Compliance Certificate.</w:t>
      </w:r>
    </w:p>
    <w:p>
      <w:pPr>
        <w:spacing w:after="0" w:line="53" w:lineRule="exact"/>
        <w:rPr>
          <w:rFonts w:ascii="Times New Roman" w:cs="Times New Roman" w:eastAsia="Times New Roman" w:hAnsi="Times New Roman"/>
          <w:sz w:val="18"/>
          <w:szCs w:val="18"/>
          <w:b w:val="1"/>
          <w:bCs w:val="1"/>
          <w:color w:val="auto"/>
        </w:rPr>
      </w:pPr>
    </w:p>
    <w:p>
      <w:pPr>
        <w:ind w:left="764" w:hanging="764"/>
        <w:spacing w:after="0" w:line="261" w:lineRule="auto"/>
        <w:tabs>
          <w:tab w:leader="none" w:pos="764"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Have there been (i) any terminations of, material notices under or amendments or modifications of any Material Contract, the Beike License Agreement or the Dunkirk Lease, (ii) any entries into new Material Contracts or (iii) any actions taken (or omission to take any actions) that would permit a Material Contract, the Beike License Agreement or the Dunkirk Lease to be terminated by any counterparty thereto prior to its stated date of expiration?</w:t>
      </w:r>
    </w:p>
    <w:p>
      <w:pPr>
        <w:spacing w:after="0" w:line="71" w:lineRule="exact"/>
        <w:rPr>
          <w:rFonts w:ascii="Times New Roman" w:cs="Times New Roman" w:eastAsia="Times New Roman" w:hAnsi="Times New Roman"/>
          <w:sz w:val="18"/>
          <w:szCs w:val="18"/>
          <w:b w:val="1"/>
          <w:bCs w:val="1"/>
          <w:color w:val="auto"/>
        </w:rPr>
      </w:pPr>
    </w:p>
    <w:p>
      <w:pPr>
        <w:ind w:left="764" w:right="40" w:hanging="764"/>
        <w:spacing w:after="0" w:line="282" w:lineRule="auto"/>
        <w:tabs>
          <w:tab w:leader="none" w:pos="764"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Have there been any significant development with respect to any prior (i) Clinical Update, (ii) the Regulatory Update, (iii) Commercial Update or (iv) Intellectual Property Update?</w:t>
      </w:r>
    </w:p>
    <w:p>
      <w:pPr>
        <w:spacing w:after="0" w:line="20" w:lineRule="exact"/>
        <w:rPr>
          <w:sz w:val="20"/>
          <w:szCs w:val="20"/>
          <w:color w:val="auto"/>
        </w:rPr>
      </w:pPr>
      <w:r>
        <w:rPr>
          <w:sz w:val="20"/>
          <w:szCs w:val="20"/>
          <w:color w:val="auto"/>
        </w:rPr>
        <w:br w:type="column"/>
      </w:r>
    </w:p>
    <w:p>
      <w:pPr>
        <w:ind w:left="40"/>
        <w:spacing w:after="0"/>
        <w:tabs>
          <w:tab w:leader="none" w:pos="560" w:val="left"/>
          <w:tab w:leader="none" w:pos="104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7"/>
          <w:szCs w:val="17"/>
          <w:color w:val="auto"/>
        </w:rPr>
        <w:t>N/A</w:t>
      </w:r>
    </w:p>
    <w:p>
      <w:pPr>
        <w:spacing w:after="0" w:line="117" w:lineRule="exact"/>
        <w:rPr>
          <w:sz w:val="20"/>
          <w:szCs w:val="20"/>
          <w:color w:val="auto"/>
        </w:rPr>
      </w:pPr>
    </w:p>
    <w:p>
      <w:pPr>
        <w:ind w:left="40"/>
        <w:spacing w:after="0"/>
        <w:tabs>
          <w:tab w:leader="none" w:pos="560" w:val="left"/>
          <w:tab w:leader="none" w:pos="104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7"/>
          <w:szCs w:val="17"/>
          <w:color w:val="auto"/>
        </w:rPr>
        <w:t>N/A</w:t>
      </w:r>
    </w:p>
    <w:p>
      <w:pPr>
        <w:spacing w:after="0" w:line="117" w:lineRule="exact"/>
        <w:rPr>
          <w:sz w:val="20"/>
          <w:szCs w:val="20"/>
          <w:color w:val="auto"/>
        </w:rPr>
      </w:pPr>
    </w:p>
    <w:p>
      <w:pPr>
        <w:ind w:left="40"/>
        <w:spacing w:after="0"/>
        <w:tabs>
          <w:tab w:leader="none" w:pos="560" w:val="left"/>
          <w:tab w:leader="none" w:pos="104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7"/>
          <w:szCs w:val="17"/>
          <w:color w:val="auto"/>
        </w:rPr>
        <w:t>N/A</w:t>
      </w:r>
    </w:p>
    <w:p>
      <w:pPr>
        <w:spacing w:after="0" w:line="117" w:lineRule="exact"/>
        <w:rPr>
          <w:sz w:val="20"/>
          <w:szCs w:val="20"/>
          <w:color w:val="auto"/>
        </w:rPr>
      </w:pPr>
    </w:p>
    <w:p>
      <w:pPr>
        <w:ind w:left="40"/>
        <w:spacing w:after="0"/>
        <w:tabs>
          <w:tab w:leader="none" w:pos="560" w:val="left"/>
          <w:tab w:leader="none" w:pos="104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7"/>
          <w:szCs w:val="17"/>
          <w:color w:val="auto"/>
        </w:rPr>
        <w:t>N/A</w:t>
      </w:r>
    </w:p>
    <w:p>
      <w:pPr>
        <w:spacing w:after="0" w:line="117" w:lineRule="exact"/>
        <w:rPr>
          <w:sz w:val="20"/>
          <w:szCs w:val="20"/>
          <w:color w:val="auto"/>
        </w:rPr>
      </w:pPr>
    </w:p>
    <w:p>
      <w:pPr>
        <w:ind w:left="40"/>
        <w:spacing w:after="0"/>
        <w:tabs>
          <w:tab w:leader="none" w:pos="560" w:val="left"/>
          <w:tab w:leader="none" w:pos="104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7"/>
          <w:szCs w:val="17"/>
          <w:color w:val="auto"/>
        </w:rPr>
        <w:t>N/A</w:t>
      </w:r>
    </w:p>
    <w:p>
      <w:pPr>
        <w:spacing w:after="0" w:line="333" w:lineRule="exact"/>
        <w:rPr>
          <w:sz w:val="20"/>
          <w:szCs w:val="20"/>
          <w:color w:val="auto"/>
        </w:rPr>
      </w:pPr>
    </w:p>
    <w:p>
      <w:pPr>
        <w:ind w:left="40"/>
        <w:spacing w:after="0"/>
        <w:tabs>
          <w:tab w:leader="none" w:pos="560" w:val="left"/>
          <w:tab w:leader="none" w:pos="104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7"/>
          <w:szCs w:val="17"/>
          <w:color w:val="auto"/>
        </w:rPr>
        <w:t>N/A</w:t>
      </w:r>
    </w:p>
    <w:p>
      <w:pPr>
        <w:spacing w:after="0" w:line="117" w:lineRule="exact"/>
        <w:rPr>
          <w:sz w:val="20"/>
          <w:szCs w:val="20"/>
          <w:color w:val="auto"/>
        </w:rPr>
      </w:pPr>
    </w:p>
    <w:p>
      <w:pPr>
        <w:ind w:left="40"/>
        <w:spacing w:after="0"/>
        <w:tabs>
          <w:tab w:leader="none" w:pos="560" w:val="left"/>
          <w:tab w:leader="none" w:pos="104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7"/>
          <w:szCs w:val="17"/>
          <w:color w:val="auto"/>
        </w:rPr>
        <w:t>N/A</w:t>
      </w:r>
    </w:p>
    <w:p>
      <w:pPr>
        <w:spacing w:after="0" w:line="117" w:lineRule="exact"/>
        <w:rPr>
          <w:sz w:val="20"/>
          <w:szCs w:val="20"/>
          <w:color w:val="auto"/>
        </w:rPr>
      </w:pPr>
    </w:p>
    <w:p>
      <w:pPr>
        <w:ind w:left="40"/>
        <w:spacing w:after="0"/>
        <w:tabs>
          <w:tab w:leader="none" w:pos="560" w:val="left"/>
          <w:tab w:leader="none" w:pos="104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7"/>
          <w:szCs w:val="17"/>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p>
    <w:p>
      <w:pPr>
        <w:spacing w:after="0" w:line="1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p>
    <w:p>
      <w:pPr>
        <w:spacing w:after="0" w:line="1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p>
    <w:p>
      <w:pPr>
        <w:spacing w:after="0" w:line="33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p>
    <w:p>
      <w:pPr>
        <w:spacing w:after="0" w:line="33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p>
    <w:p>
      <w:pPr>
        <w:sectPr>
          <w:pgSz w:w="11900" w:h="16838" w:orient="portrait"/>
          <w:cols w:equalWidth="0" w:num="2">
            <w:col w:w="9284" w:space="160"/>
            <w:col w:w="1360"/>
          </w:cols>
          <w:pgMar w:left="436" w:top="374" w:right="6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Exceptions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Please explain any exceptions with respect to the certification above: (If no exceptions exist, state “No exceptions.” Attach separate sheet if additional space needed.)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IMMUNITYBIO,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48" w:lineRule="exact"/>
        <w:rPr>
          <w:sz w:val="20"/>
          <w:szCs w:val="20"/>
          <w:color w:val="auto"/>
        </w:rPr>
      </w:pPr>
    </w:p>
    <w:tbl>
      <w:tblPr>
        <w:tblLayout w:type="fixed"/>
        <w:tblInd w:w="5640" w:type="dxa"/>
        <w:tblCellMar>
          <w:top w:w="0" w:type="dxa"/>
          <w:left w:w="0" w:type="dxa"/>
          <w:bottom w:w="0" w:type="dxa"/>
          <w:right w:w="0" w:type="dxa"/>
        </w:tblCellMar>
      </w:tblPr>
      <w:tr>
        <w:trPr>
          <w:trHeight w:val="238"/>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PURCHASER AGENT USE ONLY</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91"/>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Received by:                             </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4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w w:val="84"/>
              </w:rPr>
              <w:t>Date: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r>
      <w:tr>
        <w:trPr>
          <w:trHeight w:val="20"/>
        </w:trPr>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412"/>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Verified by: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w w:val="84"/>
              </w:rPr>
              <w:t>Date: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r>
      <w:tr>
        <w:trPr>
          <w:trHeight w:val="20"/>
        </w:trPr>
        <w:tc>
          <w:tcPr>
            <w:tcW w:w="900" w:type="dxa"/>
            <w:vAlign w:val="bottom"/>
          </w:tcPr>
          <w:p>
            <w:pPr>
              <w:spacing w:after="0" w:line="20" w:lineRule="exact"/>
              <w:rPr>
                <w:sz w:val="1"/>
                <w:szCs w:val="1"/>
                <w:color w:val="auto"/>
              </w:rPr>
            </w:pPr>
          </w:p>
        </w:tc>
        <w:tc>
          <w:tcPr>
            <w:tcW w:w="18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453"/>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Compliance Status:          Yes    </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1"/>
              </w:rPr>
              <w:t>   </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xml:space="preserve">No    </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0860"/>
          </w:cols>
          <w:pgMar w:left="440" w:top="266" w:right="59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Form of Guaranty</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266" w:right="1440" w:bottom="1440" w:gutter="0" w:footer="0" w:header="0"/>
        </w:sectPr>
      </w:pPr>
    </w:p>
    <w:bookmarkStart w:id="105" w:name="page106"/>
    <w:bookmarkEnd w:id="10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[FORM OF] GUARANTY </w:t>
      </w:r>
      <w:r>
        <w:rPr>
          <w:rFonts w:ascii="Times New Roman" w:cs="Times New Roman" w:eastAsia="Times New Roman" w:hAnsi="Times New Roman"/>
          <w:sz w:val="18"/>
          <w:szCs w:val="18"/>
          <w:color w:val="auto"/>
        </w:rPr>
        <w:t>AGREEMENT</w:t>
      </w:r>
    </w:p>
    <w:p>
      <w:pPr>
        <w:spacing w:after="0" w:line="225"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THIS GUARANTY AGREEMENT</w:t>
      </w:r>
      <w:r>
        <w:rPr>
          <w:rFonts w:ascii="Times New Roman" w:cs="Times New Roman" w:eastAsia="Times New Roman" w:hAnsi="Times New Roman"/>
          <w:sz w:val="18"/>
          <w:szCs w:val="18"/>
          <w:color w:val="auto"/>
        </w:rPr>
        <w:t>, dated as of [ ] (this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is made by [ ] (the “</w:t>
      </w:r>
      <w:r>
        <w:rPr>
          <w:rFonts w:ascii="Times New Roman" w:cs="Times New Roman" w:eastAsia="Times New Roman" w:hAnsi="Times New Roman"/>
          <w:sz w:val="18"/>
          <w:szCs w:val="18"/>
          <w:b w:val="1"/>
          <w:bCs w:val="1"/>
          <w:i w:val="1"/>
          <w:iCs w:val="1"/>
          <w:color w:val="auto"/>
        </w:rPr>
        <w:t>Initial Guarantor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ImmunityBio, Inc.</w:t>
      </w:r>
      <w:r>
        <w:rPr>
          <w:rFonts w:ascii="Times New Roman" w:cs="Times New Roman" w:eastAsia="Times New Roman" w:hAnsi="Times New Roman"/>
          <w:sz w:val="18"/>
          <w:szCs w:val="18"/>
          <w:color w:val="auto"/>
        </w:rPr>
        <w:t>, a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each Subsidiary of the Company that, after the date hereof, executes a joinder hereto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Guarantor Joinder</w:t>
      </w:r>
      <w:r>
        <w:rPr>
          <w:rFonts w:ascii="Times New Roman" w:cs="Times New Roman" w:eastAsia="Times New Roman" w:hAnsi="Times New Roman"/>
          <w:sz w:val="18"/>
          <w:szCs w:val="18"/>
          <w:color w:val="auto"/>
        </w:rPr>
        <w:t>”; such Subsidiaries of the Company, together with the Initial Guarantor,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in favor of the Guaranteed Parties (as hereinafter defined). Capitalized terms used herein without definition shall have the meanings given to them in the Purchase Agreement referred to below.</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The Initial Guarantor, the Company, the Purchasers, and Infinity SA LLC, as Purchaser Agent for the Purchasers (in such capacity,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Purchaser Agent</w:t>
      </w:r>
      <w:r>
        <w:rPr>
          <w:rFonts w:ascii="Times New Roman" w:cs="Times New Roman" w:eastAsia="Times New Roman" w:hAnsi="Times New Roman"/>
          <w:sz w:val="17"/>
          <w:szCs w:val="17"/>
          <w:color w:val="auto"/>
        </w:rPr>
        <w:t>”), are parties to a Revenue Interest Purchase Agreement, dated as of December 29, 2023 (as amended, restated, amended and restated,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supplemented or otherwise modified from time to time,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pursuant to which the Purchasers have purchased the 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Interests, for aggregate consideration up to $</w:t>
      </w:r>
      <w:r>
        <w:rPr>
          <w:rFonts w:ascii="Times New Roman" w:cs="Times New Roman" w:eastAsia="Times New Roman" w:hAnsi="Times New Roman"/>
          <w:sz w:val="18"/>
          <w:szCs w:val="18"/>
          <w:color w:val="FF0000"/>
          <w:strike w:val="1"/>
        </w:rPr>
        <w:t>300,000,000</w:t>
      </w:r>
      <w:r>
        <w:rPr>
          <w:rFonts w:ascii="Times New Roman" w:cs="Times New Roman" w:eastAsia="Times New Roman" w:hAnsi="Times New Roman"/>
          <w:sz w:val="18"/>
          <w:szCs w:val="18"/>
          <w:u w:val="single" w:color="auto"/>
          <w:color w:val="0000FF"/>
        </w:rPr>
        <w:t>375,000,000</w:t>
      </w:r>
      <w:r>
        <w:rPr>
          <w:rFonts w:ascii="Times New Roman" w:cs="Times New Roman" w:eastAsia="Times New Roman" w:hAnsi="Times New Roman"/>
          <w:sz w:val="18"/>
          <w:szCs w:val="18"/>
          <w:color w:val="auto"/>
        </w:rPr>
        <w:t>, upon the terms and subject to the conditions set forth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2611755</wp:posOffset>
            </wp:positionH>
            <wp:positionV relativeFrom="paragraph">
              <wp:posOffset>14605</wp:posOffset>
            </wp:positionV>
            <wp:extent cx="56578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7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B. The Purchase Agreement requires that certain Subsidiaries of the Company guarantee to the Guaranteed Parties (as hereinafter defined) the payment in full of the Guaranteed Obligations (as hereinafter defined).</w:t>
      </w:r>
    </w:p>
    <w:p>
      <w:pPr>
        <w:spacing w:after="0" w:line="54"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C. The Company and the Guarantors are engaged in related businesses and undertake certain activities and operations on an integrated basis. As part of such integrated operations, the Company, among other things, may advance to the Guarantors from time to time certain proceeds from the sale of the Revenue Interests by the Company to the Purchasers pursuant to the Purchase Agreement. Each Guarantor will therefore obtain benefits as a result of the sale of the Revenue Interests by the Company under the Purchase Agreement, which benefits are hereby acknowledged, and, accordingly, desires to execute and deliver this Guaranty.</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STATEMENT OF AGREEMENT</w:t>
      </w:r>
    </w:p>
    <w:p>
      <w:pPr>
        <w:spacing w:after="0" w:line="225"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other good and valuable consideration, the receipt and sufficiency of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acknowledged, each Guarantor hereby agrees as follows:</w:t>
      </w:r>
    </w:p>
    <w:p>
      <w:pPr>
        <w:spacing w:after="0" w:line="51" w:lineRule="exact"/>
        <w:rPr>
          <w:sz w:val="20"/>
          <w:szCs w:val="20"/>
          <w:color w:val="auto"/>
        </w:rPr>
      </w:pPr>
    </w:p>
    <w:p>
      <w:pPr>
        <w:ind w:left="620" w:hanging="184"/>
        <w:spacing w:after="0"/>
        <w:tabs>
          <w:tab w:leader="none" w:pos="6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80" w:hanging="244"/>
        <w:spacing w:after="0"/>
        <w:tabs>
          <w:tab w:leader="none" w:pos="6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hereby irrevocably, absolutely and unconditionally, and jointly and severally:</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54" w:lineRule="auto"/>
        <w:tabs>
          <w:tab w:leader="none" w:pos="1078"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to the Purchasers and the Purchaser Agent (collectively, the “</w:t>
      </w:r>
      <w:r>
        <w:rPr>
          <w:rFonts w:ascii="Times New Roman" w:cs="Times New Roman" w:eastAsia="Times New Roman" w:hAnsi="Times New Roman"/>
          <w:sz w:val="18"/>
          <w:szCs w:val="18"/>
          <w:u w:val="single" w:color="auto"/>
          <w:color w:val="auto"/>
        </w:rPr>
        <w:t>Guaranteed Parties</w:t>
      </w:r>
      <w:r>
        <w:rPr>
          <w:rFonts w:ascii="Times New Roman" w:cs="Times New Roman" w:eastAsia="Times New Roman" w:hAnsi="Times New Roman"/>
          <w:sz w:val="18"/>
          <w:szCs w:val="18"/>
          <w:color w:val="auto"/>
        </w:rPr>
        <w:t xml:space="preserve">”) any and all payments (including, but not limited to, the Revenue Interest Payments, the True-Up Payment, and payment of the Put/Call Price) owing to the Guaranteed Parties, at any time and from time to time as and when due, upon receipt by the Purchasers of the indefeasible payment of the Put/Call Price pursuant to (i) the Purchasers’ exercise, or deemed automatic exercise, of the Put Option in accordance with </w:t>
      </w:r>
      <w:r>
        <w:rPr>
          <w:rFonts w:ascii="Times New Roman" w:cs="Times New Roman" w:eastAsia="Times New Roman" w:hAnsi="Times New Roman"/>
          <w:sz w:val="18"/>
          <w:szCs w:val="18"/>
          <w:u w:val="single" w:color="auto"/>
          <w:color w:val="auto"/>
        </w:rPr>
        <w:t>Section 5.07(a)</w:t>
      </w:r>
      <w:r>
        <w:rPr>
          <w:rFonts w:ascii="Times New Roman" w:cs="Times New Roman" w:eastAsia="Times New Roman" w:hAnsi="Times New Roman"/>
          <w:sz w:val="18"/>
          <w:szCs w:val="18"/>
          <w:color w:val="auto"/>
        </w:rPr>
        <w:t xml:space="preserve"> of the Purchase Agreement, (ii) the Company’s exercise of the Call Option in accordance with </w:t>
      </w:r>
      <w:r>
        <w:rPr>
          <w:rFonts w:ascii="Times New Roman" w:cs="Times New Roman" w:eastAsia="Times New Roman" w:hAnsi="Times New Roman"/>
          <w:sz w:val="18"/>
          <w:szCs w:val="18"/>
          <w:u w:val="single" w:color="auto"/>
          <w:color w:val="auto"/>
        </w:rPr>
        <w:t>Section 5.07(b)</w:t>
      </w:r>
      <w:r>
        <w:rPr>
          <w:rFonts w:ascii="Times New Roman" w:cs="Times New Roman" w:eastAsia="Times New Roman" w:hAnsi="Times New Roman"/>
          <w:sz w:val="18"/>
          <w:szCs w:val="18"/>
          <w:color w:val="auto"/>
        </w:rPr>
        <w:t xml:space="preserve"> of the Purchase Agreement or (iii) otherwise, of all of the Obligations under the Purchase Agreement and the other Transaction Documents, including, without limitation, all fees, expenses, indemnities and other amounts payable by the Company under the Purchase Agreement or any other Transaction Document (including the obligations in respect of the Revenue Interests,</w:t>
      </w:r>
    </w:p>
    <w:p>
      <w:pPr>
        <w:sectPr>
          <w:pgSz w:w="11900" w:h="16838" w:orient="portrait"/>
          <w:cols w:equalWidth="0" w:num="1">
            <w:col w:w="10980"/>
          </w:cols>
          <w:pgMar w:left="440" w:top="266" w:right="479" w:bottom="1440" w:gutter="0" w:footer="0" w:header="0"/>
        </w:sectPr>
      </w:pPr>
    </w:p>
    <w:bookmarkStart w:id="106" w:name="page107"/>
    <w:bookmarkEnd w:id="106"/>
    <w:p>
      <w:pPr>
        <w:ind w:left="44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including all obligations to make Revenue Interest Payments, the True-Up Payment, and to pay the Put/Call Price, as applicable, and the obligation to repurchase the Revenue Interests at the Put/Call Price after the occurrence of a Put Option Event (including, without limitation, the filing of a petition or commencement of a case by or with respect to the Company or any Subsidiary seeking relief under any Insolvency Laws (as hereinafter defined), whether or not the claim for such payment is allowed in such proceeding)), and all Obligations that, but for the operation of the automatic stay under Section 362(a) of Title 11 of the United States Code (and any successor statute or statutes having substantially the same function, the “</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would become due, whether now existing or hereafter created or arising and whether direct or indirect, absolute or contingent, due or to become due;</w:t>
      </w:r>
    </w:p>
    <w:p>
      <w:pPr>
        <w:spacing w:after="0" w:line="81" w:lineRule="exact"/>
        <w:rPr>
          <w:sz w:val="20"/>
          <w:szCs w:val="20"/>
          <w:color w:val="auto"/>
        </w:rPr>
      </w:pPr>
    </w:p>
    <w:p>
      <w:pPr>
        <w:jc w:val="both"/>
        <w:ind w:left="444" w:right="80" w:firstLine="419"/>
        <w:spacing w:after="0" w:line="266" w:lineRule="auto"/>
        <w:tabs>
          <w:tab w:leader="none" w:pos="1132" w:val="left"/>
        </w:tabs>
        <w:numPr>
          <w:ilvl w:val="2"/>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to pay on demand all Reimbursable Expenses of the Guaranteed Parties hereunder pursuant to the terms of </w:t>
      </w:r>
      <w:r>
        <w:rPr>
          <w:rFonts w:ascii="Times New Roman" w:cs="Times New Roman" w:eastAsia="Times New Roman" w:hAnsi="Times New Roman"/>
          <w:sz w:val="18"/>
          <w:szCs w:val="18"/>
          <w:u w:val="single" w:color="auto"/>
          <w:color w:val="auto"/>
        </w:rPr>
        <w:t>Section 2.02(d)</w:t>
      </w:r>
      <w:r>
        <w:rPr>
          <w:rFonts w:ascii="Times New Roman" w:cs="Times New Roman" w:eastAsia="Times New Roman" w:hAnsi="Times New Roman"/>
          <w:sz w:val="18"/>
          <w:szCs w:val="18"/>
          <w:color w:val="auto"/>
        </w:rPr>
        <w:t xml:space="preserve"> of the Purchase Agreement, including, without limitation, in connection with (A) any amendments, supplements, consents or waivers hereto and (B) the administration or enforcement of this Guaranty; and</w:t>
      </w:r>
    </w:p>
    <w:p>
      <w:pPr>
        <w:spacing w:after="0" w:line="67" w:lineRule="exact"/>
        <w:rPr>
          <w:rFonts w:ascii="Times New Roman" w:cs="Times New Roman" w:eastAsia="Times New Roman" w:hAnsi="Times New Roman"/>
          <w:sz w:val="18"/>
          <w:szCs w:val="18"/>
          <w:color w:val="auto"/>
        </w:rPr>
      </w:pPr>
    </w:p>
    <w:p>
      <w:pPr>
        <w:jc w:val="both"/>
        <w:ind w:left="444" w:right="100" w:firstLine="419"/>
        <w:spacing w:after="0" w:line="289" w:lineRule="auto"/>
        <w:tabs>
          <w:tab w:leader="none" w:pos="1182" w:val="left"/>
        </w:tabs>
        <w:numPr>
          <w:ilvl w:val="2"/>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agrees to indemnify, defend and hold harmless each Guaranteed Party and their respective Affiliates from and against all damages, losses and other documented out-of-pocket costs and expenses of any kind or nature whatsoever owing to any Indemnified Party pursuant to </w:t>
      </w:r>
      <w:r>
        <w:rPr>
          <w:rFonts w:ascii="Times New Roman" w:cs="Times New Roman" w:eastAsia="Times New Roman" w:hAnsi="Times New Roman"/>
          <w:sz w:val="17"/>
          <w:szCs w:val="17"/>
          <w:u w:val="single" w:color="auto"/>
          <w:color w:val="auto"/>
        </w:rPr>
        <w:t>Section 8.04</w:t>
      </w:r>
      <w:r>
        <w:rPr>
          <w:rFonts w:ascii="Times New Roman" w:cs="Times New Roman" w:eastAsia="Times New Roman" w:hAnsi="Times New Roman"/>
          <w:sz w:val="17"/>
          <w:szCs w:val="17"/>
          <w:color w:val="auto"/>
        </w:rPr>
        <w:t xml:space="preserve"> of the Purchase Agreement (all liabilities and obligations described in this </w:t>
      </w:r>
      <w:r>
        <w:rPr>
          <w:rFonts w:ascii="Times New Roman" w:cs="Times New Roman" w:eastAsia="Times New Roman" w:hAnsi="Times New Roman"/>
          <w:sz w:val="17"/>
          <w:szCs w:val="17"/>
          <w:b w:val="1"/>
          <w:bCs w:val="1"/>
          <w:u w:val="single" w:color="auto"/>
          <w:color w:val="auto"/>
        </w:rPr>
        <w:t>Section 1(a)</w:t>
      </w:r>
      <w:r>
        <w:rPr>
          <w:rFonts w:ascii="Times New Roman" w:cs="Times New Roman" w:eastAsia="Times New Roman" w:hAnsi="Times New Roman"/>
          <w:sz w:val="17"/>
          <w:szCs w:val="17"/>
          <w:color w:val="auto"/>
        </w:rPr>
        <w:t>, collectively, the “</w:t>
      </w:r>
      <w:r>
        <w:rPr>
          <w:rFonts w:ascii="Times New Roman" w:cs="Times New Roman" w:eastAsia="Times New Roman" w:hAnsi="Times New Roman"/>
          <w:sz w:val="17"/>
          <w:szCs w:val="17"/>
          <w:u w:val="single" w:color="auto"/>
          <w:color w:val="auto"/>
        </w:rPr>
        <w:t>Guaranteed Obligations</w:t>
      </w:r>
      <w:r>
        <w:rPr>
          <w:rFonts w:ascii="Times New Roman" w:cs="Times New Roman" w:eastAsia="Times New Roman" w:hAnsi="Times New Roman"/>
          <w:sz w:val="17"/>
          <w:szCs w:val="17"/>
          <w:color w:val="auto"/>
        </w:rPr>
        <w:t>”).</w:t>
      </w:r>
    </w:p>
    <w:p>
      <w:pPr>
        <w:spacing w:after="0" w:line="45" w:lineRule="exact"/>
        <w:rPr>
          <w:rFonts w:ascii="Times New Roman" w:cs="Times New Roman" w:eastAsia="Times New Roman" w:hAnsi="Times New Roman"/>
          <w:sz w:val="17"/>
          <w:szCs w:val="17"/>
          <w:color w:val="auto"/>
        </w:rPr>
      </w:pPr>
    </w:p>
    <w:p>
      <w:pPr>
        <w:ind w:left="4" w:firstLine="436"/>
        <w:spacing w:after="0" w:line="253" w:lineRule="auto"/>
        <w:tabs>
          <w:tab w:leader="none" w:pos="699"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provisions of </w:t>
      </w:r>
      <w:r>
        <w:rPr>
          <w:rFonts w:ascii="Times New Roman" w:cs="Times New Roman" w:eastAsia="Times New Roman" w:hAnsi="Times New Roman"/>
          <w:sz w:val="18"/>
          <w:szCs w:val="18"/>
          <w:b w:val="1"/>
          <w:bCs w:val="1"/>
          <w:u w:val="single" w:color="auto"/>
          <w:color w:val="auto"/>
        </w:rPr>
        <w:t>Section 1(a)</w:t>
      </w:r>
      <w:r>
        <w:rPr>
          <w:rFonts w:ascii="Times New Roman" w:cs="Times New Roman" w:eastAsia="Times New Roman" w:hAnsi="Times New Roman"/>
          <w:sz w:val="18"/>
          <w:szCs w:val="18"/>
          <w:color w:val="auto"/>
        </w:rPr>
        <w:t xml:space="preserve"> and notwithstanding any other provisions contained herein or in any other Transaction Document, the liability of each Guarantor under this Guaranty as of any date shall be limited to a maximum aggregate amount (the “</w:t>
      </w:r>
      <w:r>
        <w:rPr>
          <w:rFonts w:ascii="Times New Roman" w:cs="Times New Roman" w:eastAsia="Times New Roman" w:hAnsi="Times New Roman"/>
          <w:sz w:val="18"/>
          <w:szCs w:val="18"/>
          <w:u w:val="single" w:color="auto"/>
          <w:color w:val="auto"/>
        </w:rPr>
        <w:t>Maximum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Guaranteed Amount</w:t>
      </w:r>
      <w:r>
        <w:rPr>
          <w:rFonts w:ascii="Times New Roman" w:cs="Times New Roman" w:eastAsia="Times New Roman" w:hAnsi="Times New Roman"/>
          <w:sz w:val="18"/>
          <w:szCs w:val="18"/>
          <w:color w:val="auto"/>
        </w:rPr>
        <w:t>”) equal to the greatest amount that would not render such Guarantor’s obligations under this Guaranty subject to avoidance, discharge or reduction as of such date as a fraudulent transfer or conveyance under applicable federal and state laws pertaining to bankruptcy, reorganization, arrangement, moratorium, readjustment of debts, dissolution, liquidation or other debtor relief, specifically including the Bankruptcy Code and any fraudulent transfer and fraudulent conveyance laws (collectively, “</w:t>
      </w:r>
      <w:r>
        <w:rPr>
          <w:rFonts w:ascii="Times New Roman" w:cs="Times New Roman" w:eastAsia="Times New Roman" w:hAnsi="Times New Roman"/>
          <w:sz w:val="18"/>
          <w:szCs w:val="18"/>
          <w:u w:val="single" w:color="auto"/>
          <w:color w:val="auto"/>
        </w:rPr>
        <w:t>Insolvency Laws</w:t>
      </w:r>
      <w:r>
        <w:rPr>
          <w:rFonts w:ascii="Times New Roman" w:cs="Times New Roman" w:eastAsia="Times New Roman" w:hAnsi="Times New Roman"/>
          <w:sz w:val="18"/>
          <w:szCs w:val="18"/>
          <w:color w:val="auto"/>
        </w:rPr>
        <w:t>”), in each instance after giving effect to all other liabilities of such Guarantor, contingent or otherwise, that are relevant under applicable Insolvency Laws (specifically excluding, however, any liabilities of such Guarantor in respect of intercompany indebtedness to the Company or any of its Affiliates to the extent that such indebtedness would be discharged in an amount equal to the amount paid by such Guarantor hereunder, and after giving effect as assets to the value (as determined under applicable Insolvency Laws) of any rights to subrogation, contribution, reimbursement, indemnity or similar rights of such Guarantor pursuant to</w:t>
      </w:r>
    </w:p>
    <w:p>
      <w:pPr>
        <w:ind w:left="4" w:right="40" w:hanging="4"/>
        <w:spacing w:after="0" w:line="260" w:lineRule="auto"/>
        <w:tabs>
          <w:tab w:leader="none" w:pos="25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 or (y) any agreement (including this Guaranty) providing for an equitable allocation among such Guarantor and other Affiliates of the Company of obligations arising under guaranties by such parties).</w:t>
      </w:r>
    </w:p>
    <w:p>
      <w:pPr>
        <w:spacing w:after="0" w:line="69" w:lineRule="exact"/>
        <w:rPr>
          <w:rFonts w:ascii="Times New Roman" w:cs="Times New Roman" w:eastAsia="Times New Roman" w:hAnsi="Times New Roman"/>
          <w:sz w:val="18"/>
          <w:szCs w:val="18"/>
          <w:color w:val="auto"/>
        </w:rPr>
      </w:pPr>
    </w:p>
    <w:p>
      <w:pPr>
        <w:ind w:left="4" w:right="20" w:firstLine="436"/>
        <w:spacing w:after="0" w:line="259" w:lineRule="auto"/>
        <w:tabs>
          <w:tab w:leader="none" w:pos="689"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guaranty of each Guarantor set forth in this </w:t>
      </w:r>
      <w:r>
        <w:rPr>
          <w:rFonts w:ascii="Times New Roman" w:cs="Times New Roman" w:eastAsia="Times New Roman" w:hAnsi="Times New Roman"/>
          <w:sz w:val="18"/>
          <w:szCs w:val="18"/>
          <w:b w:val="1"/>
          <w:bCs w:val="1"/>
          <w:u w:val="single" w:color="auto"/>
          <w:color w:val="auto"/>
        </w:rPr>
        <w:t>Section 1</w:t>
      </w:r>
      <w:r>
        <w:rPr>
          <w:rFonts w:ascii="Times New Roman" w:cs="Times New Roman" w:eastAsia="Times New Roman" w:hAnsi="Times New Roman"/>
          <w:sz w:val="18"/>
          <w:szCs w:val="18"/>
          <w:color w:val="auto"/>
        </w:rPr>
        <w:t xml:space="preserve"> is a guaranty of payment as a primary obligor, and not a guaranty of collection. Each Guarantor hereby acknowledges and agrees that the Guaranteed Obligations, at any time and from time to time, may exceed the Maximum Guaranteed Amount of such Guarantor and may exceed the aggregate of the Maximum Guaranteed Amounts of all Guarantors, in each case without discharging, limiting or otherwise affecting the obligations of any Guarantor hereunder or the rights, powers and remedies of any Guaranteed Party hereunder or under any other Transaction Document.</w:t>
      </w:r>
    </w:p>
    <w:p>
      <w:pPr>
        <w:spacing w:after="0" w:line="7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this Guaranty is a Transaction Document.</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107" w:name="page108"/>
    <w:bookmarkEnd w:id="107"/>
    <w:p>
      <w:pPr>
        <w:ind w:right="40" w:firstLine="436"/>
        <w:spacing w:after="0" w:line="261" w:lineRule="auto"/>
        <w:tabs>
          <w:tab w:leader="none" w:pos="6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Guaranty Absolute</w:t>
      </w:r>
      <w:r>
        <w:rPr>
          <w:rFonts w:ascii="Times New Roman" w:cs="Times New Roman" w:eastAsia="Times New Roman" w:hAnsi="Times New Roman"/>
          <w:sz w:val="18"/>
          <w:szCs w:val="18"/>
          <w:color w:val="auto"/>
        </w:rPr>
        <w:t>. Each Guarantor agrees that its obligations hereunder and under the other Transaction Documents to which it is a party are irrevocable, absolute and unconditional, are independent of the Guaranteed Obligations and any Collateral or other security therefor or other guaranty or liability in respect thereof, whether given by such Guarantor or any other Person, and shall not be discharged, limited or otherwise affected by reason of any of the following, whether or not such Guarantor has notice or knowledge thereof:</w:t>
      </w:r>
    </w:p>
    <w:p>
      <w:pPr>
        <w:spacing w:after="0" w:line="71"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078"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time, manner or place of payment of, or in any other term of, any Guaranteed Obligations or any guaranty or other liability in respect thereof, or any amendment, modification or supplement to, restatement of, or consent to any rescission or waiver of or departure from, any provisions of the Purchase Agreement, any other Transaction Document or any agreement or instrument delivered pursuant to any of the foregoing;</w:t>
      </w:r>
    </w:p>
    <w:p>
      <w:pPr>
        <w:spacing w:after="0" w:line="71" w:lineRule="exact"/>
        <w:rPr>
          <w:rFonts w:ascii="Times New Roman" w:cs="Times New Roman" w:eastAsia="Times New Roman" w:hAnsi="Times New Roman"/>
          <w:sz w:val="18"/>
          <w:szCs w:val="18"/>
          <w:color w:val="auto"/>
        </w:rPr>
      </w:pPr>
    </w:p>
    <w:p>
      <w:pPr>
        <w:ind w:left="440" w:right="500" w:firstLine="419"/>
        <w:spacing w:after="0" w:line="266" w:lineRule="auto"/>
        <w:tabs>
          <w:tab w:leader="none" w:pos="1128"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illegality, invalidity or unenforceability of any Guaranteed Obligations, any guaranty or other liability in respect thereof or any provisions of the Purchase Agreement, any other Transaction Document or any agreement or instrument delivered pursuant to any of the foregoing;</w:t>
      </w:r>
    </w:p>
    <w:p>
      <w:pPr>
        <w:spacing w:after="0" w:line="67"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78"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or release of Guarantors hereunder or the taking, acceptance or release of other guarantees of any Guaranteed Obligations or additional Collateral or other security for any Guaranteed Obligations or for any guaranty or other liability in respect thereof;</w:t>
      </w:r>
    </w:p>
    <w:p>
      <w:pPr>
        <w:spacing w:after="0" w:line="53"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68"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of any Guarantor into or with any entity, or any sale, lease or transfer of any of the assets of any Guarantor to any other person or entity;</w:t>
      </w:r>
    </w:p>
    <w:p>
      <w:pPr>
        <w:spacing w:after="0" w:line="53" w:lineRule="exact"/>
        <w:rPr>
          <w:rFonts w:ascii="Times New Roman" w:cs="Times New Roman" w:eastAsia="Times New Roman" w:hAnsi="Times New Roman"/>
          <w:sz w:val="18"/>
          <w:szCs w:val="18"/>
          <w:color w:val="auto"/>
        </w:rPr>
      </w:pPr>
    </w:p>
    <w:p>
      <w:pPr>
        <w:ind w:left="440" w:right="620" w:firstLine="419"/>
        <w:spacing w:after="0" w:line="282" w:lineRule="auto"/>
        <w:tabs>
          <w:tab w:leader="none" w:pos="1118"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ownership of any Guarantor or the Company or any change in the relationship between the Guarantors and the Company, or any termination of any such relationship;</w:t>
      </w:r>
    </w:p>
    <w:p>
      <w:pPr>
        <w:spacing w:after="0" w:line="53" w:lineRule="exact"/>
        <w:rPr>
          <w:rFonts w:ascii="Times New Roman" w:cs="Times New Roman" w:eastAsia="Times New Roman" w:hAnsi="Times New Roman"/>
          <w:sz w:val="18"/>
          <w:szCs w:val="18"/>
          <w:color w:val="auto"/>
        </w:rPr>
      </w:pPr>
    </w:p>
    <w:p>
      <w:pPr>
        <w:ind w:left="440" w:right="300" w:firstLine="419"/>
        <w:spacing w:after="0" w:line="266" w:lineRule="auto"/>
        <w:tabs>
          <w:tab w:leader="none" w:pos="1168"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Purchaser Agent or any Purchaser to disclose to the Guarantors any information relating to the business, condition (financial or otherwise), operations, performance, properties or prospects of any Guarantor or the Company now or hereafter known to the Purchaser Agent or such Purchaser;</w:t>
      </w:r>
    </w:p>
    <w:p>
      <w:pPr>
        <w:spacing w:after="0" w:line="67"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218"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discharge, modification, settlement, compromise or other action in respect of any Guaranteed Obligations or any guaranty or other liability in respect thereof, including any acceptance or refusal of any offer or performance with respect to the same or the subordination of the same to the payment of any other obligations;</w:t>
      </w:r>
    </w:p>
    <w:p>
      <w:pPr>
        <w:spacing w:after="0" w:line="67" w:lineRule="exact"/>
        <w:rPr>
          <w:rFonts w:ascii="Times New Roman" w:cs="Times New Roman" w:eastAsia="Times New Roman" w:hAnsi="Times New Roman"/>
          <w:sz w:val="18"/>
          <w:szCs w:val="18"/>
          <w:color w:val="auto"/>
        </w:rPr>
      </w:pPr>
    </w:p>
    <w:p>
      <w:pPr>
        <w:ind w:left="440" w:firstLine="419"/>
        <w:spacing w:after="0" w:line="258" w:lineRule="auto"/>
        <w:tabs>
          <w:tab w:leader="none" w:pos="1268"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not to pursue or enforce or any failure to pursue or enforce (whether voluntarily or involuntarily, as a result of operation of law, court order or otherwise) any right or remedy in respect of any Guaranteed Obligations, any guaranty or other liability in respect thereof or any Collateral or other security for any of the foregoing; any sale, exchange, release, substitution, compromise or other action in respect of any such Collateral or other security; or any failure to create, protect, perfect, secure, insure, continue or maintain any Liens in any such Collateral or other security;</w:t>
      </w:r>
    </w:p>
    <w:p>
      <w:pPr>
        <w:spacing w:after="0" w:line="75"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any right or remedy available under the Transaction Documents, at law, in equity or otherwise in respect of any</w:t>
      </w:r>
    </w:p>
    <w:p>
      <w:pPr>
        <w:spacing w:after="0" w:line="27" w:lineRule="exact"/>
        <w:rPr>
          <w:rFonts w:ascii="Times New Roman" w:cs="Times New Roman" w:eastAsia="Times New Roman" w:hAnsi="Times New Roman"/>
          <w:sz w:val="18"/>
          <w:szCs w:val="18"/>
          <w:color w:val="auto"/>
        </w:rPr>
      </w:pPr>
    </w:p>
    <w:p>
      <w:pPr>
        <w:ind w:left="4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or other security for any Guaranteed Obligations or for any guaranty or other liability in respect thereof, in any order and by any manner thereby permitted, including foreclosure on any such Collateral or other security by any manner of sale thereby permitted, whether or not every aspect of such sale is commercially reasonable;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08" w:name="page109"/>
    <w:bookmarkEnd w:id="108"/>
    <w:p>
      <w:pPr>
        <w:jc w:val="both"/>
        <w:ind w:left="4" w:firstLine="419"/>
        <w:spacing w:after="0" w:line="312" w:lineRule="auto"/>
        <w:tabs>
          <w:tab w:leader="none" w:pos="681"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voluntary or involuntary bankruptcy, reorganization, arrangement, liquidation, insolvency, dissolution, termination, reorganization or like change in the corporate structure or existence of the Company or any other Person directly or indirectly liable for any Guaranteed Obligations;</w:t>
      </w:r>
    </w:p>
    <w:p>
      <w:pPr>
        <w:spacing w:after="0" w:line="31" w:lineRule="exact"/>
        <w:rPr>
          <w:rFonts w:ascii="Times New Roman" w:cs="Times New Roman" w:eastAsia="Times New Roman" w:hAnsi="Times New Roman"/>
          <w:sz w:val="17"/>
          <w:szCs w:val="17"/>
          <w:color w:val="auto"/>
        </w:rPr>
      </w:pPr>
    </w:p>
    <w:p>
      <w:pPr>
        <w:ind w:left="4" w:right="140" w:firstLine="419"/>
        <w:spacing w:after="0" w:line="266" w:lineRule="auto"/>
        <w:tabs>
          <w:tab w:leader="none" w:pos="731"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manner of application of any payments by or amounts received or collected from any Person, by whomsoever paid and howsoever realized, whether in reduction of any Guaranteed Obligations or any other obligations of the Company or any other Person directly or indirectly liable for any Guaranteed Obligations, regardless of what Guaranteed Obligations may remain unpaid after any such application; or</w:t>
      </w:r>
    </w:p>
    <w:p>
      <w:pPr>
        <w:spacing w:after="0" w:line="67" w:lineRule="exact"/>
        <w:rPr>
          <w:rFonts w:ascii="Times New Roman" w:cs="Times New Roman" w:eastAsia="Times New Roman" w:hAnsi="Times New Roman"/>
          <w:sz w:val="18"/>
          <w:szCs w:val="18"/>
          <w:color w:val="auto"/>
        </w:rPr>
      </w:pPr>
    </w:p>
    <w:p>
      <w:pPr>
        <w:ind w:left="4" w:firstLine="419"/>
        <w:spacing w:after="0" w:line="261" w:lineRule="auto"/>
        <w:tabs>
          <w:tab w:leader="none" w:pos="781"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that might otherwise constitute a legal or equitable discharge of, or a defense, setoff or counterclaim available to, the Company, any Guarantor or a surety or guarantor generally, other than the occurrence of all of the following: (x) the payment in full in cash of the Guaranteed Obligations (other than contingent indemnification obligations for which no claim has been made) and (y) the termination of the Purchaser Commitments (the events in clauses (x) and (y) above, collectively, the “</w:t>
      </w:r>
      <w:r>
        <w:rPr>
          <w:rFonts w:ascii="Times New Roman" w:cs="Times New Roman" w:eastAsia="Times New Roman" w:hAnsi="Times New Roman"/>
          <w:sz w:val="18"/>
          <w:szCs w:val="18"/>
          <w:u w:val="single" w:color="auto"/>
          <w:color w:val="auto"/>
        </w:rPr>
        <w:t>Termination Requirements</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Waivers</w:t>
      </w:r>
      <w:r>
        <w:rPr>
          <w:rFonts w:ascii="Times New Roman" w:cs="Times New Roman" w:eastAsia="Times New Roman" w:hAnsi="Times New Roman"/>
          <w:sz w:val="18"/>
          <w:szCs w:val="18"/>
          <w:color w:val="auto"/>
        </w:rPr>
        <w:t>. Each Guarantor hereby knowingly, voluntarily and expressly waives, to the extent permitted by applicable law:</w:t>
      </w:r>
    </w:p>
    <w:p>
      <w:pPr>
        <w:spacing w:after="0" w:line="117" w:lineRule="exact"/>
        <w:rPr>
          <w:rFonts w:ascii="Times New Roman" w:cs="Times New Roman" w:eastAsia="Times New Roman" w:hAnsi="Times New Roman"/>
          <w:sz w:val="18"/>
          <w:szCs w:val="18"/>
          <w:color w:val="auto"/>
        </w:rPr>
      </w:pPr>
    </w:p>
    <w:p>
      <w:pPr>
        <w:ind w:left="4" w:right="380" w:firstLine="419"/>
        <w:spacing w:after="0" w:line="261" w:lineRule="auto"/>
        <w:tabs>
          <w:tab w:leader="none" w:pos="641"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presentment, demand for payment, demand for performance, protest and notice of any other kind, including notice of nonpayment or other nonperformance (including notice of default under any Transaction Document with respect to any Guaranteed Obligations), protest, dishonor, acceptance hereof, extension of additional credit to the Company or any other Guarantor and of any of the matters referred to in </w:t>
      </w:r>
      <w:r>
        <w:rPr>
          <w:rFonts w:ascii="Times New Roman" w:cs="Times New Roman" w:eastAsia="Times New Roman" w:hAnsi="Times New Roman"/>
          <w:sz w:val="18"/>
          <w:szCs w:val="18"/>
          <w:b w:val="1"/>
          <w:bCs w:val="1"/>
          <w:u w:val="single" w:color="auto"/>
          <w:color w:val="auto"/>
        </w:rPr>
        <w:t>Section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of any rights to consent thereto;</w:t>
      </w:r>
    </w:p>
    <w:p>
      <w:pPr>
        <w:spacing w:after="0" w:line="71" w:lineRule="exact"/>
        <w:rPr>
          <w:rFonts w:ascii="Times New Roman" w:cs="Times New Roman" w:eastAsia="Times New Roman" w:hAnsi="Times New Roman"/>
          <w:sz w:val="18"/>
          <w:szCs w:val="18"/>
          <w:color w:val="auto"/>
        </w:rPr>
      </w:pPr>
    </w:p>
    <w:p>
      <w:pPr>
        <w:ind w:left="4" w:firstLine="419"/>
        <w:spacing w:after="0" w:line="254" w:lineRule="auto"/>
        <w:tabs>
          <w:tab w:leader="none" w:pos="691"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to require the Guaranteed Parties as a condition of payment or performance by such Guarantor hereunder to proceed against, or to exhaust or have resort to any Collateral or other security from or any deposit balance or other credit in favor of, the Company, any other Guarantor or any other Person directly or indirectly liable for any Guaranteed Obligations, or to pursue any other remedy or enforce any other right; and any other defense based on an election of remedies with respect to any Collateral or other security for any Guaranteed Obligations or for any guaranty or other liability in respect thereof, notwithstanding that any such election (including any failure to pursue or enforce any rights or remedies) may impair or extinguish any right of indemnification, contribution, reimbursement or subrogation or other right or remedy of any Guarantor against the Company, any other Guarantor or any other Person directly or indirectly liable for any Guaranteed Obligations or any such Collateral or other security;</w:t>
      </w:r>
    </w:p>
    <w:p>
      <w:pPr>
        <w:spacing w:after="0" w:line="83" w:lineRule="exact"/>
        <w:rPr>
          <w:rFonts w:ascii="Times New Roman" w:cs="Times New Roman" w:eastAsia="Times New Roman" w:hAnsi="Times New Roman"/>
          <w:sz w:val="18"/>
          <w:szCs w:val="18"/>
          <w:color w:val="auto"/>
        </w:rPr>
      </w:pPr>
    </w:p>
    <w:p>
      <w:pPr>
        <w:ind w:left="4" w:firstLine="419"/>
        <w:spacing w:after="0" w:line="254" w:lineRule="auto"/>
        <w:tabs>
          <w:tab w:leader="none" w:pos="741"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or defense based on or arising by reason of any right or defense of the Company, any other Guarantor or any other Person, including any defense based on or arising from a lack of authority or other disability of the Company, any other Guarantor or any other Person, the invalidity or unenforceability of any Guaranteed Obligations, any Collateral or other security therefor or any Transaction Document or other agreement or instrument delivered pursuant thereto, or the cessation of the liability of the Company, any other Guarantor or any other Person for any reason other than the satisfaction of the Termination Requirements;</w:t>
      </w:r>
    </w:p>
    <w:p>
      <w:pPr>
        <w:spacing w:after="0" w:line="3" w:lineRule="exact"/>
        <w:rPr>
          <w:rFonts w:ascii="Times New Roman" w:cs="Times New Roman" w:eastAsia="Times New Roman" w:hAnsi="Times New Roman"/>
          <w:sz w:val="18"/>
          <w:szCs w:val="18"/>
          <w:color w:val="auto"/>
        </w:rPr>
      </w:pPr>
    </w:p>
    <w:p>
      <w:pPr>
        <w:ind w:left="4" w:right="40" w:firstLine="419"/>
        <w:spacing w:after="0" w:line="255" w:lineRule="auto"/>
        <w:tabs>
          <w:tab w:leader="none" w:pos="731"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defense based on any Guaranteed Party’s acts or omissions in the administration of the Guaranteed Obligations, any guaranty or other liability in respect thereof or any Collateral or other security for any of the foregoing, and promptness, diligence or any requirement that any Guaranteed Party create, protect, perfect, secure, insure, continue or maintain any Liens in any such Collateral or other security;</w:t>
      </w:r>
    </w:p>
    <w:p>
      <w:pPr>
        <w:spacing w:after="0" w:line="11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4"/>
          </w:cols>
          <w:pgMar w:left="876" w:top="270" w:right="459" w:bottom="1440" w:gutter="0" w:footer="0" w:header="0"/>
        </w:sectPr>
      </w:pPr>
    </w:p>
    <w:bookmarkStart w:id="109" w:name="page110"/>
    <w:bookmarkEnd w:id="109"/>
    <w:p>
      <w:pPr>
        <w:ind w:left="440" w:right="60" w:firstLine="419"/>
        <w:spacing w:after="0" w:line="261" w:lineRule="auto"/>
        <w:tabs>
          <w:tab w:leader="none" w:pos="1118"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right to assert against any Guaranteed Party, as a defense, counterclaim, crossclaim or setoff, any defense, counterclaim, claim, right of recoupment or setoff that it may at any time have against any Guaranteed Party (including failure of consideration, fraud, fraudulent inducement, statute of limitations, payment, accord and satisfaction and usury), other than compulsory counterclaims and other than the payment in full in cash of the Guaranteed Obligations (other than contingent indemnification obligations for which no claim has been made); and</w:t>
      </w:r>
    </w:p>
    <w:p>
      <w:pPr>
        <w:spacing w:after="0" w:line="71"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68"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defense based on or afforded by any applicable law that limits the liability of or exonerates guarantors or sureties or that may in any other way conflict with the terms of this Guaranty.</w:t>
      </w:r>
    </w:p>
    <w:p>
      <w:pPr>
        <w:spacing w:after="0" w:line="53" w:lineRule="exact"/>
        <w:rPr>
          <w:rFonts w:ascii="Times New Roman" w:cs="Times New Roman" w:eastAsia="Times New Roman" w:hAnsi="Times New Roman"/>
          <w:sz w:val="18"/>
          <w:szCs w:val="18"/>
          <w:color w:val="auto"/>
        </w:rPr>
      </w:pPr>
    </w:p>
    <w:p>
      <w:pPr>
        <w:ind w:firstLine="436"/>
        <w:spacing w:after="0" w:line="267" w:lineRule="auto"/>
        <w:tabs>
          <w:tab w:leader="none" w:pos="62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Subrogation; Subordination</w:t>
      </w:r>
      <w:r>
        <w:rPr>
          <w:rFonts w:ascii="Times New Roman" w:cs="Times New Roman" w:eastAsia="Times New Roman" w:hAnsi="Times New Roman"/>
          <w:sz w:val="17"/>
          <w:szCs w:val="17"/>
          <w:color w:val="auto"/>
        </w:rPr>
        <w:t>. Each Guarantor hereby waives, and agrees that it will not exercise or seek to exercise, until the Guaranteed Obligations (other than contingent indemnification obligations for which no claim has been made) have been indefeasibly paid in full, any claim or right that it may have against the Company, the Company or any other Guarantor at any time as a result of any payment made under or in connection with this Guaranty or the performance or enforcement hereof, including any right of subrogation to the rights of any of the Guaranteed Parties against the Company or any Guarantor, any right of indemnity, contribution or reimbursement against the Company or any Guarantor, any right to enforce any remedies of any Guaranteed Party against the Company or any other Guarantor, or any benefit of, or any right to participate in, any Collateral or other security held by any Guaranteed Party to secure payment of the Guaranteed Obligations, in each case whether such claims or rights arise by contract, statute (including the Bankruptcy Code), common law or otherwise. Each Guarantor further agrees that all indebtedness and other obligations, whether now or hereafter existing, of the Company or any other Subsidiary of the Company to such Guarantor, including any such indebtedness in any proceeding under the Bankruptcy Code and any intercompany debt or receivables, together with any interest thereon, shall be, and hereby are, subordinated and made junior in right of payment to the Guaranteed Obligations. Each Guarantor further agrees that if any amount shall be paid to or any distribution received by any Guarantor (i) on account of any such indebtedness at any time after the occurrence and during the continuance of a Put Option Event, or (ii) on account of any rights of contribution at any time prior to the satisfaction of the Termination Requirements, such amount or distribution shall be deemed to have been received and to be held in trust for the benefit of the Guaranteed Parties, and shall forthwith be delivered to the Purchaser Agent in the form received (with any necessary endorsements in the case of written instruments), to be applied against the Guaranteed Obligations, whether or not matured, in accordance with the terms of the applicable Transaction Documents and without in any way discharging, limiting or otherwise affecting the liability of such Guarantor under any other provision of this Guaranty. Additionally, in the event the Company or any Obligor becomes a “debtor” within the meaning of the Bankruptcy Code, the Purchaser Agent shall be entitled, at its option, on behalf of the Guaranteed Parties and as attorney-in-fact for each Guarantor, and is hereby authorized and appointed by each Guarantor, to file proofs of claim on behalf of each relevant Guarantor and vote the rights of each such Guarantor in any plan of reorganization, and to demand, sue for, collect and receive every payment and distribution on any indebtedness of the Company or such Obligor to any Guarantor in any such proceeding, each Guarantor hereby assigning to the Purchaser Agent all of its rights in respect of any such claim, including the right to receive payments and distributions in respect thereof.</w:t>
      </w:r>
    </w:p>
    <w:p>
      <w:pPr>
        <w:spacing w:after="0" w:line="203" w:lineRule="exact"/>
        <w:rPr>
          <w:rFonts w:ascii="Times New Roman" w:cs="Times New Roman" w:eastAsia="Times New Roman" w:hAnsi="Times New Roman"/>
          <w:sz w:val="17"/>
          <w:szCs w:val="17"/>
          <w:color w:val="auto"/>
        </w:rPr>
      </w:pPr>
    </w:p>
    <w:p>
      <w:pPr>
        <w:ind w:right="480" w:firstLine="436"/>
        <w:spacing w:after="0" w:line="253" w:lineRule="auto"/>
        <w:tabs>
          <w:tab w:leader="none" w:pos="6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Guarantor hereby represents and warrants to the Guaranteed Parties that, as to itself, all of the representations and warranties relating to it contained in the Purchase Agreement are true and correct in all material respects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such materiality qualifier shall not be applicable to any representations and warranties that are already qualified or modified by materiality or “Material Adverse Effect” in the text thereof).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10" w:name="page111"/>
    <w:bookmarkEnd w:id="110"/>
    <w:p>
      <w:pPr>
        <w:ind w:firstLine="436"/>
        <w:spacing w:after="0" w:line="254" w:lineRule="auto"/>
        <w:tabs>
          <w:tab w:leader="none" w:pos="6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Condition of Company</w:t>
      </w:r>
      <w:r>
        <w:rPr>
          <w:rFonts w:ascii="Times New Roman" w:cs="Times New Roman" w:eastAsia="Times New Roman" w:hAnsi="Times New Roman"/>
          <w:sz w:val="18"/>
          <w:szCs w:val="18"/>
          <w:color w:val="auto"/>
        </w:rPr>
        <w:t>. Each Guarantor represents that it has actual knowledge of the Company’s financial condition and affairs and that it has adequate means to obtain from the Company on an ongoing basis information relating thereto and to the Company’s ability to pay and perform the Guaranteed Obligations, and agrees to assume the responsibility for keeping, and to keep, so informed for so long as this Guaranty is in effect with respect to such Guarantor. Each Guarantor agrees that the Guaranteed Parties shall have no obligation to investigate the financial condition or affairs of the Company for the benefit of any Guarantor nor to advise any Guarantor of any fact respecting, or any change in, the financial condition or affairs of the Company that might become known to any Guaranteed Party at any time, whether or not such Guaranteed Party knows or believes or has reason to know or believe that any such fact or change is unknown to any Guarantor, or might (or does) materially increase the risk of any Guarantor as guarantor, or might (or would) affect the willingness of any Guarantor to continue as a guarantor of the Guaranteed Obligations.</w:t>
      </w:r>
    </w:p>
    <w:p>
      <w:pPr>
        <w:spacing w:after="0" w:line="83"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Application; Setoff</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436"/>
        <w:spacing w:after="0" w:line="261" w:lineRule="auto"/>
        <w:tabs>
          <w:tab w:leader="none" w:pos="68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Guarantor agrees that, upon the failure of the Company to pay any Guaranteed Obligations when and as the same shall become due, and without limitation of any other right or remedy that any Guaranteed Party may have at law, in equity or otherwise against such Guarantor, such Guarantor will, subject to the provisions of </w:t>
      </w:r>
      <w:r>
        <w:rPr>
          <w:rFonts w:ascii="Times New Roman" w:cs="Times New Roman" w:eastAsia="Times New Roman" w:hAnsi="Times New Roman"/>
          <w:sz w:val="18"/>
          <w:szCs w:val="18"/>
          <w:b w:val="1"/>
          <w:bCs w:val="1"/>
          <w:u w:val="single" w:color="auto"/>
          <w:color w:val="auto"/>
        </w:rPr>
        <w:t>Section 1(b)</w:t>
      </w:r>
      <w:r>
        <w:rPr>
          <w:rFonts w:ascii="Times New Roman" w:cs="Times New Roman" w:eastAsia="Times New Roman" w:hAnsi="Times New Roman"/>
          <w:sz w:val="18"/>
          <w:szCs w:val="18"/>
          <w:color w:val="auto"/>
        </w:rPr>
        <w:t>, forthwith pay or cause to be paid to the Purchaser Agent, for the benefit of the Guaranteed Parties, an amount equal to the amount of the Guaranteed Obligations then due and owing as aforesaid.</w:t>
      </w:r>
    </w:p>
    <w:p>
      <w:pPr>
        <w:spacing w:after="0" w:line="71" w:lineRule="exact"/>
        <w:rPr>
          <w:rFonts w:ascii="Times New Roman" w:cs="Times New Roman" w:eastAsia="Times New Roman" w:hAnsi="Times New Roman"/>
          <w:sz w:val="18"/>
          <w:szCs w:val="18"/>
          <w:color w:val="auto"/>
        </w:rPr>
      </w:pPr>
    </w:p>
    <w:p>
      <w:pPr>
        <w:ind w:right="20" w:firstLine="436"/>
        <w:spacing w:after="0" w:line="266" w:lineRule="auto"/>
        <w:tabs>
          <w:tab w:leader="none" w:pos="69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made by each Guarantor hereunder will be made in United States Dollars to the Purchaser Agent, without setoff, counterclaim or other defense and, in accordance with the Purchase Agreement, free and clear of and without deduction for any Taxes, each Guarantor hereby agreeing to comply with and be bound by the provisions of the Purchase Agreement in respect of all payments made by it hereunder.</w:t>
      </w:r>
    </w:p>
    <w:p>
      <w:pPr>
        <w:spacing w:after="0" w:line="67" w:lineRule="exact"/>
        <w:rPr>
          <w:rFonts w:ascii="Times New Roman" w:cs="Times New Roman" w:eastAsia="Times New Roman" w:hAnsi="Times New Roman"/>
          <w:sz w:val="18"/>
          <w:szCs w:val="18"/>
          <w:color w:val="auto"/>
        </w:rPr>
      </w:pPr>
    </w:p>
    <w:p>
      <w:pPr>
        <w:ind w:firstLine="436"/>
        <w:spacing w:after="0" w:line="266" w:lineRule="auto"/>
        <w:tabs>
          <w:tab w:leader="none" w:pos="68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proceeds of any sale, disposition or realization of the Collateral or otherwise are insufficient to pay all amounts to which the Guaranteed Parties are legally entitled, the Guarantors shall be jointly and severally liable for the deficiency, together with the costs of collection and all other fees, costs and expenses payable hereunder.</w:t>
      </w:r>
    </w:p>
    <w:p>
      <w:pPr>
        <w:spacing w:after="0" w:line="68" w:lineRule="exact"/>
        <w:rPr>
          <w:sz w:val="20"/>
          <w:szCs w:val="20"/>
          <w:color w:val="auto"/>
        </w:rPr>
      </w:pPr>
    </w:p>
    <w:p>
      <w:pPr>
        <w:ind w:right="80" w:firstLine="436"/>
        <w:spacing w:after="0" w:line="253" w:lineRule="auto"/>
        <w:tabs>
          <w:tab w:leader="none" w:pos="6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The rights and remedies of the Guaranteed Parties expressly set forth in this Guaranty and the other Transaction Documents are cumulative and in addition to, and not exclusive of, all other rights and remedies available at law, in equity or otherwise. No failure or delay on the part of any Guaranteed Party in exercising any right, power or privilege shall operate as a waiver thereof, nor shall any single or partial exercise of any such right, power or privilege preclude any other or further exercise thereof or the exercise of any other right, power or privilege or be construed to be a waiver of any Put Option Event or any other breach of the Purchase Agreement. In the event of any conflict between the provisions of the Purchase Agreement and hereof, the applicable provisions set forth in the Purchase Agreement shall control. No course of dealing between any of the Guarantors and the Guaranteed Parties or their agents or employees shall be effective to amend, modify or discharge any provision of this Guaranty or any other Transaction Document or to constitute a waiver of any Put Option Event or any other breach of the Purchase Agreement. No notice to or demand upon any Guarantor in any case shall entitle such Guarantor or any other Guarantor to any other or further notice or demand in similar or other circumstances or constitute a waiver of the right of any Guaranteed Party to exercise any right or remedy or take any other or further action in any circumstances without notice or demand.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11" w:name="page112"/>
    <w:bookmarkEnd w:id="111"/>
    <w:p>
      <w:pPr>
        <w:ind w:firstLine="436"/>
        <w:spacing w:after="0" w:line="253" w:lineRule="auto"/>
        <w:tabs>
          <w:tab w:leader="none" w:pos="6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Enforcement</w:t>
      </w:r>
      <w:r>
        <w:rPr>
          <w:rFonts w:ascii="Times New Roman" w:cs="Times New Roman" w:eastAsia="Times New Roman" w:hAnsi="Times New Roman"/>
          <w:sz w:val="18"/>
          <w:szCs w:val="18"/>
          <w:color w:val="auto"/>
        </w:rPr>
        <w:t>. The Guaranteed Parties agree that this Guaranty may be enforced only by the Purchaser Agent, acting upon the instructions or with the consent of the Purchasers as provided for in the Purchase Agreement, and that no Guaranteed Party shall have any right individually to enforce or seek to enforce this Guaranty or to realize upon any Collateral or other security given to secure the payment and performance of the Guarantors’ obligations hereunder. The obligations of each Guarantor hereunder are independent of the Guaranteed Obligations, and a separate action or actions may be brought against each Guarantor whether or not action is brought against the Company or any Guarantor and whether or not the Company or any Guarantor is joined in any such action. Each Guarantor agrees that to the extent all or part of any payment of the Guaranteed Obligations made by any Person is subsequently invalidated, declared to be fraudulent or preferential, set aside or required to be repaid by or on behalf of any Guaranteed Party to a trustee, receiver or any other Person under any Insolvency Laws (the amount of any such payment, a “</w:t>
      </w:r>
      <w:r>
        <w:rPr>
          <w:rFonts w:ascii="Times New Roman" w:cs="Times New Roman" w:eastAsia="Times New Roman" w:hAnsi="Times New Roman"/>
          <w:sz w:val="18"/>
          <w:szCs w:val="18"/>
          <w:u w:val="single" w:color="auto"/>
          <w:color w:val="auto"/>
        </w:rPr>
        <w:t>Reclaimed Amount</w:t>
      </w:r>
      <w:r>
        <w:rPr>
          <w:rFonts w:ascii="Times New Roman" w:cs="Times New Roman" w:eastAsia="Times New Roman" w:hAnsi="Times New Roman"/>
          <w:sz w:val="18"/>
          <w:szCs w:val="18"/>
          <w:color w:val="auto"/>
        </w:rPr>
        <w:t>”), then, to the extent of such Reclaimed Amount, this Guaranty shall continue in full force and effect or be revived and reinstated, as the case may be, as to the Guaranteed Obligations intended to be satisfied as if such payment had not been received; and each Guarantor acknowledges that the term “Guaranteed Obligations” includes all Reclaimed Amounts that may arise from time to time.</w:t>
      </w:r>
    </w:p>
    <w:p>
      <w:pPr>
        <w:spacing w:after="0" w:line="83" w:lineRule="exact"/>
        <w:rPr>
          <w:rFonts w:ascii="Times New Roman" w:cs="Times New Roman" w:eastAsia="Times New Roman" w:hAnsi="Times New Roman"/>
          <w:sz w:val="18"/>
          <w:szCs w:val="18"/>
          <w:color w:val="auto"/>
        </w:rPr>
      </w:pPr>
    </w:p>
    <w:p>
      <w:pPr>
        <w:ind w:right="200" w:firstLine="436"/>
        <w:spacing w:after="0" w:line="282" w:lineRule="auto"/>
        <w:tabs>
          <w:tab w:leader="none" w:pos="71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Waivers, etc</w:t>
      </w:r>
      <w:r>
        <w:rPr>
          <w:rFonts w:ascii="Times New Roman" w:cs="Times New Roman" w:eastAsia="Times New Roman" w:hAnsi="Times New Roman"/>
          <w:sz w:val="18"/>
          <w:szCs w:val="18"/>
          <w:color w:val="auto"/>
        </w:rPr>
        <w:t xml:space="preserve">. No amendment, modification, waiver, discharge or termination of, or consent to any departure by any Guarantor from, any provision of this Guaranty, shall be effective, except as made in accordance with </w:t>
      </w:r>
      <w:r>
        <w:rPr>
          <w:rFonts w:ascii="Times New Roman" w:cs="Times New Roman" w:eastAsia="Times New Roman" w:hAnsi="Times New Roman"/>
          <w:sz w:val="18"/>
          <w:szCs w:val="18"/>
          <w:u w:val="single" w:color="auto"/>
          <w:color w:val="auto"/>
        </w:rPr>
        <w:t>Section 8.08</w:t>
      </w:r>
      <w:r>
        <w:rPr>
          <w:rFonts w:ascii="Times New Roman" w:cs="Times New Roman" w:eastAsia="Times New Roman" w:hAnsi="Times New Roman"/>
          <w:sz w:val="18"/>
          <w:szCs w:val="18"/>
          <w:color w:val="auto"/>
        </w:rPr>
        <w:t xml:space="preserve"> of the Purchase Agreement.</w:t>
      </w:r>
    </w:p>
    <w:p>
      <w:pPr>
        <w:spacing w:after="0" w:line="53" w:lineRule="exact"/>
        <w:rPr>
          <w:rFonts w:ascii="Times New Roman" w:cs="Times New Roman" w:eastAsia="Times New Roman" w:hAnsi="Times New Roman"/>
          <w:sz w:val="18"/>
          <w:szCs w:val="18"/>
          <w:color w:val="auto"/>
        </w:rPr>
      </w:pPr>
    </w:p>
    <w:p>
      <w:pPr>
        <w:ind w:right="140" w:firstLine="436"/>
        <w:spacing w:after="0" w:line="258" w:lineRule="auto"/>
        <w:tabs>
          <w:tab w:leader="none" w:pos="703"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 Release of Guarantors</w:t>
      </w:r>
      <w:r>
        <w:rPr>
          <w:rFonts w:ascii="Times New Roman" w:cs="Times New Roman" w:eastAsia="Times New Roman" w:hAnsi="Times New Roman"/>
          <w:sz w:val="18"/>
          <w:szCs w:val="18"/>
          <w:color w:val="auto"/>
        </w:rPr>
        <w:t>. Each Guarantor recognizes that the provisions of the Purchase Agreement require certain Persons that become Subsidiaries of the Company and that are not already parties hereto to become Guarantors hereunder by executing a Guarantor Joinder, and agrees that its obligations hereunder shall not be discharged, limited or otherwise affected by reason of the same, or by reason of the Purchaser Agent’s actions in effecting the same or in releasing any Guarantor hereunder, in each case without the necessity of giving notice to or obtaining the consent of any other Guarantor.</w:t>
      </w:r>
    </w:p>
    <w:p>
      <w:pPr>
        <w:spacing w:after="0" w:line="75" w:lineRule="exact"/>
        <w:rPr>
          <w:rFonts w:ascii="Times New Roman" w:cs="Times New Roman" w:eastAsia="Times New Roman" w:hAnsi="Times New Roman"/>
          <w:sz w:val="18"/>
          <w:szCs w:val="18"/>
          <w:color w:val="auto"/>
        </w:rPr>
      </w:pPr>
    </w:p>
    <w:p>
      <w:pPr>
        <w:ind w:right="20" w:firstLine="436"/>
        <w:spacing w:after="0" w:line="253" w:lineRule="auto"/>
        <w:tabs>
          <w:tab w:leader="none" w:pos="71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Guaranty; Term; Successors and Assigns; Assignment; Survival</w:t>
      </w:r>
      <w:r>
        <w:rPr>
          <w:rFonts w:ascii="Times New Roman" w:cs="Times New Roman" w:eastAsia="Times New Roman" w:hAnsi="Times New Roman"/>
          <w:sz w:val="18"/>
          <w:szCs w:val="18"/>
          <w:color w:val="auto"/>
        </w:rPr>
        <w:t>. This Guaranty is a continuing guaranty and covers all of the Guaranteed Obligations as the same may arise and be outstanding at any time and from time to time from and after the date hereof, and shall (i) remain in full force and effect until satisfaction of all of the Termination Requirements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provisions of </w:t>
      </w:r>
      <w:r>
        <w:rPr>
          <w:rFonts w:ascii="Times New Roman" w:cs="Times New Roman" w:eastAsia="Times New Roman" w:hAnsi="Times New Roman"/>
          <w:sz w:val="18"/>
          <w:szCs w:val="18"/>
          <w:b w:val="1"/>
          <w:bCs w:val="1"/>
          <w:u w:val="single" w:color="auto"/>
          <w:color w:val="auto"/>
        </w:rPr>
        <w:t>Sections 1(a)(ii)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u w:val="single" w:color="auto"/>
          <w:color w:val="auto"/>
        </w:rPr>
        <w:t>4</w:t>
      </w:r>
      <w:r>
        <w:rPr>
          <w:rFonts w:ascii="Times New Roman" w:cs="Times New Roman" w:eastAsia="Times New Roman" w:hAnsi="Times New Roman"/>
          <w:sz w:val="18"/>
          <w:szCs w:val="18"/>
          <w:color w:val="auto"/>
        </w:rPr>
        <w:t xml:space="preserve"> shall survive any termination of this Guaranty), (ii) be binding upon and enforceable against each Guarantor and its successors and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Guarantor may sell, assign or transfer any of its rights, interests, duties or obligations hereunder without the prior written consent of the Purchaser Agent and the Required Purchasers) and (iii) inure to the benefit of and be enforceable by each Guaranteed Party and its permitted successors and assigns. Without limiting the generality of clause (iii) above, any Guaranteed Party may, in accordance with the provisions of the Purchase Agreement, assign all or a portion of the Guaranteed Obligations held by it (including by the sale of participations), whereupon each Person that becomes the holder of any such Guaranteed Obligations shall (except as may be otherwise agreed between such Guaranteed Party and such Person) have and may exercise all of the rights and benefits in respect thereof granted to such Guaranteed Party under this Guaranty or otherwise. Each Guarantor hereby irrevocably waives notice of and consents in advance to the assignment as provided above from time to time by any Guaranteed Party of all or any portion of the Guaranteed Obligations held by it and of the corresponding rights and interests of such Guaranteed Party hereunder in connection therewith. All representations, warranties, covenants and agreements herein shall survive the execution and delivery of this Guaranty and any Guarantor Joinder.</w:t>
      </w:r>
    </w:p>
    <w:p>
      <w:pPr>
        <w:spacing w:after="0" w:line="79" w:lineRule="exact"/>
        <w:rPr>
          <w:rFonts w:ascii="Times New Roman" w:cs="Times New Roman" w:eastAsia="Times New Roman" w:hAnsi="Times New Roman"/>
          <w:sz w:val="18"/>
          <w:szCs w:val="18"/>
          <w:color w:val="auto"/>
        </w:rPr>
      </w:pPr>
    </w:p>
    <w:p>
      <w:pPr>
        <w:ind w:right="80" w:firstLine="436"/>
        <w:spacing w:after="0" w:line="276" w:lineRule="auto"/>
        <w:tabs>
          <w:tab w:leader="none" w:pos="710"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 Submission to Jurisdiction; Venue</w:t>
      </w:r>
      <w:r>
        <w:rPr>
          <w:rFonts w:ascii="Times New Roman" w:cs="Times New Roman" w:eastAsia="Times New Roman" w:hAnsi="Times New Roman"/>
          <w:sz w:val="17"/>
          <w:szCs w:val="17"/>
          <w:color w:val="auto"/>
        </w:rPr>
        <w:t xml:space="preserve">. This Agreement shall be governed by, and construed, interpreted and enforced in accordance with, the laws of the state of New York, without giving effect to the principles of conflicts of law thereof. The terms of </w:t>
      </w:r>
      <w:r>
        <w:rPr>
          <w:rFonts w:ascii="Times New Roman" w:cs="Times New Roman" w:eastAsia="Times New Roman" w:hAnsi="Times New Roman"/>
          <w:sz w:val="17"/>
          <w:szCs w:val="17"/>
          <w:u w:val="single" w:color="auto"/>
          <w:color w:val="auto"/>
        </w:rPr>
        <w:t>Sections 8.14(b)</w:t>
      </w:r>
      <w:r>
        <w:rPr>
          <w:rFonts w:ascii="Times New Roman" w:cs="Times New Roman" w:eastAsia="Times New Roman" w:hAnsi="Times New Roman"/>
          <w:sz w:val="17"/>
          <w:szCs w:val="17"/>
          <w:color w:val="auto"/>
        </w:rPr>
        <w:t xml:space="preserve"> and</w:t>
      </w:r>
    </w:p>
    <w:p>
      <w:pPr>
        <w:ind w:right="3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8.15</w:t>
      </w:r>
      <w:r>
        <w:rPr>
          <w:rFonts w:ascii="Times New Roman" w:cs="Times New Roman" w:eastAsia="Times New Roman" w:hAnsi="Times New Roman"/>
          <w:sz w:val="18"/>
          <w:szCs w:val="18"/>
          <w:color w:val="auto"/>
        </w:rPr>
        <w:t xml:space="preserve"> of the Purchase Agreement with respect to submission to jurisdiction, venue and waiver of jury trial are incorporated herein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and the parties hereto agree to such terms.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12" w:name="page113"/>
    <w:bookmarkEnd w:id="112"/>
    <w:p>
      <w:pPr>
        <w:ind w:left="700" w:hanging="264"/>
        <w:spacing w:after="0"/>
        <w:tabs>
          <w:tab w:leader="none" w:pos="7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Appointment of the Company as Representative, Process Agent, Attorney-in-Fact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436"/>
        <w:spacing w:after="0" w:line="274" w:lineRule="auto"/>
        <w:tabs>
          <w:tab w:leader="none" w:pos="685"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Guarantor hereby irrevocably designates and appoints the Company as its designee, appointee and agent to receive on its behalf all service of process in any such suit, action or proceeding and any other notice or communication hereunder, irrevocably consents to service of process in any such action or proceeding by the mailing of copies thereof by registered or certified mail, postage prepaid, to the Company at its address set forth in the Purchase Agreement, and irrevocably waives any objection to such service of process and further irrevocably waives and agrees not to plead or claim in any suit, action or proceeding commenced hereunder or under any other Transaction Document that service of process was in any way invalid or ineffective. Nothing in this </w:t>
      </w:r>
      <w:r>
        <w:rPr>
          <w:rFonts w:ascii="Times New Roman" w:cs="Times New Roman" w:eastAsia="Times New Roman" w:hAnsi="Times New Roman"/>
          <w:sz w:val="17"/>
          <w:szCs w:val="17"/>
          <w:b w:val="1"/>
          <w:bCs w:val="1"/>
          <w:color w:val="auto"/>
        </w:rPr>
        <w:t>Section</w:t>
      </w:r>
      <w:r>
        <w:rPr>
          <w:rFonts w:ascii="Times New Roman" w:cs="Times New Roman" w:eastAsia="Times New Roman" w:hAnsi="Times New Roman"/>
          <w:sz w:val="17"/>
          <w:szCs w:val="17"/>
          <w:color w:val="auto"/>
        </w:rPr>
        <w:t xml:space="preserve"> shall affect the right of a party to serve process on the other party in any other manner permitted by law.</w:t>
      </w:r>
    </w:p>
    <w:p>
      <w:pPr>
        <w:spacing w:after="0" w:line="64" w:lineRule="exact"/>
        <w:rPr>
          <w:rFonts w:ascii="Times New Roman" w:cs="Times New Roman" w:eastAsia="Times New Roman" w:hAnsi="Times New Roman"/>
          <w:sz w:val="17"/>
          <w:szCs w:val="17"/>
          <w:color w:val="auto"/>
        </w:rPr>
      </w:pPr>
    </w:p>
    <w:p>
      <w:pPr>
        <w:ind w:firstLine="436"/>
        <w:spacing w:after="0" w:line="253" w:lineRule="auto"/>
        <w:tabs>
          <w:tab w:leader="none" w:pos="69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each Guarantor does hereby irrevocably make, constitute and appoint the Company as its true and lawful attorney-in-fact, with full authority in its place and stead and in its name, the Company’s name or otherwise, and with full power of substitution in the premises, from time to time in the Company’s discretion to agree on behalf of, and sign the name of, such Guarantor to any amendment, modification or supplement to, restatement of, or waiver or consent in connection with, this Guaranty, any other Transaction Document or any document or instrument related hereto or thereto, and to take any other action and do all other things on behalf of such Guarantor that the Company may deem necessary or advisable to carry out and accomplish the purposes of this Guaranty and the other Transaction Documents. The Company will not be liable for any act or omission nor for any error of judgment or mistake of fact unless the same shall occur as a result of the gross negligence or willful misconduct of the Company. This power, being coupled with an interest, is irrevocable by any Guarantor for so long as this Guaranty shall be in effect with respect to such Guarantor. By its signature hereto, the Company consents to its appointment as provided for herein and agrees promptly to distribute all process, notices and other communications to each Guarantor.</w:t>
      </w:r>
    </w:p>
    <w:p>
      <w:pPr>
        <w:spacing w:after="0" w:line="86" w:lineRule="exact"/>
        <w:rPr>
          <w:sz w:val="20"/>
          <w:szCs w:val="20"/>
          <w:color w:val="auto"/>
        </w:rPr>
      </w:pPr>
    </w:p>
    <w:p>
      <w:pPr>
        <w:ind w:right="600" w:firstLine="436"/>
        <w:spacing w:after="0" w:line="282" w:lineRule="auto"/>
        <w:tabs>
          <w:tab w:leader="none" w:pos="71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required or permitted to be given under this Agreement shall be in conformance with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of the Purchase Agreement.</w:t>
      </w:r>
    </w:p>
    <w:p>
      <w:pPr>
        <w:spacing w:after="0" w:line="53" w:lineRule="exact"/>
        <w:rPr>
          <w:rFonts w:ascii="Times New Roman" w:cs="Times New Roman" w:eastAsia="Times New Roman" w:hAnsi="Times New Roman"/>
          <w:sz w:val="18"/>
          <w:szCs w:val="18"/>
          <w:color w:val="auto"/>
        </w:rPr>
      </w:pPr>
    </w:p>
    <w:p>
      <w:pPr>
        <w:ind w:right="200" w:firstLine="436"/>
        <w:spacing w:after="0" w:line="266" w:lineRule="auto"/>
        <w:tabs>
          <w:tab w:leader="none" w:pos="71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To the extent any provision of this Guaranty is prohibited by or invalid under the applicable law of any jurisdiction, such provision shall be ineffective only to the extent of such prohibition or invalidity and only in such jurisdiction, without prohibiting or invalidating such provision in any other jurisdiction or the remaining provisions of this Guaranty in any jurisdiction.</w:t>
      </w:r>
    </w:p>
    <w:p>
      <w:pPr>
        <w:spacing w:after="0" w:line="67" w:lineRule="exact"/>
        <w:rPr>
          <w:rFonts w:ascii="Times New Roman" w:cs="Times New Roman" w:eastAsia="Times New Roman" w:hAnsi="Times New Roman"/>
          <w:sz w:val="18"/>
          <w:szCs w:val="18"/>
          <w:color w:val="auto"/>
        </w:rPr>
      </w:pPr>
    </w:p>
    <w:p>
      <w:pPr>
        <w:ind w:right="60" w:firstLine="436"/>
        <w:spacing w:after="0" w:line="261" w:lineRule="auto"/>
        <w:tabs>
          <w:tab w:leader="none" w:pos="71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xml:space="preserve">. The headings of the various sections and subsections of this Guaranty have been inserted for convenience only and shall not in any way affect the meaning or construction of any of the provisions hereof. Unless the context otherwise requires, words in the singular include the plural and words in the plural include the singular. The provisions of </w:t>
      </w:r>
      <w:r>
        <w:rPr>
          <w:rFonts w:ascii="Times New Roman" w:cs="Times New Roman" w:eastAsia="Times New Roman" w:hAnsi="Times New Roman"/>
          <w:sz w:val="18"/>
          <w:szCs w:val="18"/>
          <w:u w:val="single" w:color="auto"/>
          <w:color w:val="auto"/>
        </w:rPr>
        <w:t>Section 8.09</w:t>
      </w:r>
      <w:r>
        <w:rPr>
          <w:rFonts w:ascii="Times New Roman" w:cs="Times New Roman" w:eastAsia="Times New Roman" w:hAnsi="Times New Roman"/>
          <w:sz w:val="18"/>
          <w:szCs w:val="18"/>
          <w:color w:val="auto"/>
        </w:rPr>
        <w:t xml:space="preserve"> of the Purchase Agreement are hereby incorporated by reference as if fully set forth herein.</w:t>
      </w:r>
    </w:p>
    <w:p>
      <w:pPr>
        <w:spacing w:after="0" w:line="6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Effectiveness; Electronic Signature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 xml:space="preserve"> of the Purchase Agreement is incorporated herein by reference, </w:t>
      </w:r>
      <w:r>
        <w:rPr>
          <w:rFonts w:ascii="Times New Roman" w:cs="Times New Roman" w:eastAsia="Times New Roman" w:hAnsi="Times New Roman"/>
          <w:sz w:val="18"/>
          <w:szCs w:val="18"/>
          <w:i w:val="1"/>
          <w:iCs w:val="1"/>
          <w:color w:val="auto"/>
        </w:rPr>
        <w:t>mutatis</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[Signature pages follow]</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70" w:right="479" w:bottom="1440" w:gutter="0" w:footer="0" w:header="0"/>
        </w:sectPr>
      </w:pPr>
    </w:p>
    <w:bookmarkStart w:id="113" w:name="page114"/>
    <w:bookmarkEnd w:id="113"/>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caused this Guaranty to be executed under seal by their duly authorized officers as of the date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written.</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[GUARANTOR]</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3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[Signatures Continue on Following Page]</w:t>
      </w:r>
    </w:p>
    <w:p>
      <w:pPr>
        <w:spacing w:after="0" w:line="15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i w:val="1"/>
          <w:iCs w:val="1"/>
          <w:color w:val="auto"/>
        </w:rPr>
        <w:t>Signature Page to Guaranty</w:t>
      </w:r>
    </w:p>
    <w:p>
      <w:pPr>
        <w:sectPr>
          <w:pgSz w:w="11900" w:h="16838" w:orient="portrait"/>
          <w:cols w:equalWidth="0" w:num="1">
            <w:col w:w="10820"/>
          </w:cols>
          <w:pgMar w:left="440" w:top="266" w:right="6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and agreed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Infinity SA LLC, as Purchaser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3" w:lineRule="exact"/>
        <w:rPr>
          <w:sz w:val="20"/>
          <w:szCs w:val="20"/>
          <w:color w:val="auto"/>
        </w:rPr>
      </w:pPr>
    </w:p>
    <w:p>
      <w:pPr>
        <w:jc w:val="right"/>
        <w:ind w:right="3499"/>
        <w:spacing w:after="0"/>
        <w:rPr>
          <w:sz w:val="20"/>
          <w:szCs w:val="20"/>
          <w:color w:val="auto"/>
        </w:rPr>
      </w:pPr>
      <w:r>
        <w:rPr>
          <w:rFonts w:ascii="Times New Roman" w:cs="Times New Roman" w:eastAsia="Times New Roman" w:hAnsi="Times New Roman"/>
          <w:sz w:val="18"/>
          <w:szCs w:val="18"/>
          <w:i w:val="1"/>
          <w:iCs w:val="1"/>
          <w:color w:val="auto"/>
        </w:rPr>
        <w:t>Signature Page to Guaranty</w:t>
      </w:r>
    </w:p>
    <w:p>
      <w:pPr>
        <w:sectPr>
          <w:pgSz w:w="11900" w:h="16838" w:orient="portrait"/>
          <w:cols w:equalWidth="0" w:num="1">
            <w:col w:w="10019"/>
          </w:cols>
          <w:pgMar w:left="440" w:top="270" w:right="1440" w:bottom="1440" w:gutter="0" w:footer="0" w:header="0"/>
        </w:sectPr>
      </w:pPr>
    </w:p>
    <w:bookmarkStart w:id="115" w:name="page116"/>
    <w:bookmarkEnd w:id="115"/>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TO GUARANTY</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GUARANTOR JOINDER</w:t>
      </w:r>
    </w:p>
    <w:p>
      <w:pPr>
        <w:spacing w:after="0" w:line="225"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THIS GUARANTOR JOINDER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dated as of [ ] is executed and delivered by</w:t>
      </w:r>
      <w:r>
        <w:rPr>
          <w:rFonts w:ascii="Times New Roman" w:cs="Times New Roman" w:eastAsia="Times New Roman" w:hAnsi="Times New Roman"/>
          <w:sz w:val="18"/>
          <w:szCs w:val="18"/>
          <w:b w:val="1"/>
          <w:bCs w:val="1"/>
          <w:color w:val="auto"/>
        </w:rPr>
        <w:t xml:space="preserve"> [NAME OF NEW GUARANTOR]</w:t>
      </w:r>
      <w:r>
        <w:rPr>
          <w:rFonts w:ascii="Times New Roman" w:cs="Times New Roman" w:eastAsia="Times New Roman" w:hAnsi="Times New Roman"/>
          <w:sz w:val="18"/>
          <w:szCs w:val="18"/>
          <w:color w:val="auto"/>
        </w:rPr>
        <w:t>, a [ ]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Guarantor</w:t>
      </w:r>
      <w:r>
        <w:rPr>
          <w:rFonts w:ascii="Times New Roman" w:cs="Times New Roman" w:eastAsia="Times New Roman" w:hAnsi="Times New Roman"/>
          <w:sz w:val="18"/>
          <w:szCs w:val="18"/>
          <w:color w:val="auto"/>
        </w:rPr>
        <w:t>”), pursuant to the Guaranty referred to below.</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Reference is made to the Purchase Agreement, dated as of December 29, 2023 among ImmunityBio, Inc., a Delaware corporation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Purchasers party thereto, and Infinity SA LLC, as Purchaser Agent for the Purchasers (as amended, restated, amended and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supplemented or otherwise modified from time to time,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In connection with and as a condition to the purchase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Interests by the Purchasers under the Purchase Agreement, the Initial Guarantor has executed and delivered a Guaranty, dated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29, 2023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the Initial Guarantor has guaranteed the payment in full of the obligations of the Company under the Purchase Agreement and the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Transaction Documents (as defined in the Purchase Agreement). Capitalized terms used herein without definition shall have the meanings given to them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Guaranty.</w:t>
      </w:r>
    </w:p>
    <w:p>
      <w:pPr>
        <w:spacing w:after="0" w:line="20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Initial Guarantor has agreed under the Purchase Agreement to cause certain of its future Subsidiaries to become a party to the Guaranty as a guarantor thereunder. The New Guarantor is a Subsidiary of the Company that the Company is required to cause to become a party to the Guaranty. The New Guarantor will obtain benefits as a result of sale of Revenue Interest to the Purchasers by the Company under the Purchase Agreement, which benefits are hereby acknowledged, and, accordingly, desire to execute and deliver this Joinder. Therefore, in consideration of the foregoing and other good and valuable consideration, the receipt and sufficiency of which are hereby acknowledged, and as further inducement to the Purchasers in connection with their purchase of the Revenue Interests under the Purchase Agreement, the New Guarantor hereby agrees as follows:</w:t>
      </w:r>
    </w:p>
    <w:p>
      <w:pPr>
        <w:spacing w:after="0" w:line="187" w:lineRule="exact"/>
        <w:rPr>
          <w:sz w:val="20"/>
          <w:szCs w:val="20"/>
          <w:color w:val="auto"/>
        </w:rPr>
      </w:pPr>
    </w:p>
    <w:p>
      <w:pPr>
        <w:ind w:right="40" w:firstLine="436"/>
        <w:spacing w:after="0" w:line="258" w:lineRule="auto"/>
        <w:tabs>
          <w:tab w:leader="none" w:pos="62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Guarantor hereby joins in and, subject to Section 2 below, agrees to be bound by each and all of the provisions of the Guaranty as a Guarantor thereunder. In furtherance (and without limitation) of the foregoing, pursuant to Section 1 of the Guaranty, the New Guarantor hereby irrevocably, absolutely and unconditionally, and jointly and severally with each other Guarantor, guarantees to the Guaranteed Parties the full and prompt payment, at any time and from time to time as and when due, of all of the Guaranteed Obligations, and agrees to pay or reimburse upon demand all other obligations of the Guarantors under the Guaranty, all on the terms and subject to the conditions set forth in the Guaranty.</w:t>
      </w:r>
    </w:p>
    <w:p>
      <w:pPr>
        <w:spacing w:after="0" w:line="183" w:lineRule="exact"/>
        <w:rPr>
          <w:rFonts w:ascii="Times New Roman" w:cs="Times New Roman" w:eastAsia="Times New Roman" w:hAnsi="Times New Roman"/>
          <w:sz w:val="18"/>
          <w:szCs w:val="18"/>
          <w:color w:val="auto"/>
        </w:rPr>
      </w:pPr>
    </w:p>
    <w:p>
      <w:pPr>
        <w:ind w:right="820" w:firstLine="436"/>
        <w:spacing w:after="0" w:line="214" w:lineRule="auto"/>
        <w:tabs>
          <w:tab w:leader="none" w:pos="62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term in the Guaranty or this Joinder to the contrary, the New Guarantor’s guarantee is subject to the following limitations:]</w:t>
      </w:r>
      <w:r>
        <w:rPr>
          <w:rFonts w:ascii="Times New Roman" w:cs="Times New Roman" w:eastAsia="Times New Roman" w:hAnsi="Times New Roman"/>
          <w:sz w:val="26"/>
          <w:szCs w:val="26"/>
          <w:color w:val="auto"/>
          <w:vertAlign w:val="superscript"/>
        </w:rPr>
        <w:t>1</w:t>
      </w:r>
    </w:p>
    <w:p>
      <w:pPr>
        <w:ind w:right="200" w:firstLine="436"/>
        <w:spacing w:after="0" w:line="254" w:lineRule="auto"/>
        <w:tabs>
          <w:tab w:leader="none" w:pos="62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Guarantor hereby represents and warrants that after giving effect to this Joinder, each representation and warranty related to it contained in the Purchase Agreement is true and correct in all material respects (provided that such materiality qualifier shall not be applicable to any representations and warranties that are already qualified or modified by materiality or “Material Adverse Effect” in the</w:t>
      </w:r>
    </w:p>
    <w:p>
      <w:pPr>
        <w:spacing w:after="0" w:line="159" w:lineRule="exact"/>
        <w:rPr>
          <w:rFonts w:ascii="Times New Roman" w:cs="Times New Roman" w:eastAsia="Times New Roman" w:hAnsi="Times New Roman"/>
          <w:sz w:val="18"/>
          <w:szCs w:val="18"/>
          <w:color w:val="auto"/>
        </w:rPr>
      </w:pPr>
    </w:p>
    <w:p>
      <w:pPr>
        <w:ind w:left="420" w:hanging="43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Customary guaranty limitations, reasonably acceptable to the Purchaser Agent, shall be added in respect of any Subsidiary Guarantor organized in a jurisdiction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-322580</wp:posOffset>
            </wp:positionV>
            <wp:extent cx="7715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0960"/>
          </w:cols>
          <w:pgMar w:left="440" w:top="270" w:right="499" w:bottom="1440" w:gutter="0" w:footer="0" w:header="0"/>
        </w:sectPr>
      </w:pPr>
    </w:p>
    <w:bookmarkStart w:id="116" w:name="page117"/>
    <w:bookmarkEnd w:id="116"/>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text thereof) with respect to the New Guarantor as of the date hereof except to the extent that they refer to an earlier date, in which case they shall be true and correct in all material respects (provided that such materiality qualifier shall not be applicable to any representations and warranties that are already qualified or modified by materiality or “Material Adverse Effect” in the text thereof) with respect to the New Guarantor as of such earlier date.</w:t>
      </w:r>
    </w:p>
    <w:p>
      <w:pPr>
        <w:spacing w:after="0" w:line="176" w:lineRule="exact"/>
        <w:rPr>
          <w:sz w:val="20"/>
          <w:szCs w:val="20"/>
          <w:color w:val="auto"/>
        </w:rPr>
      </w:pPr>
    </w:p>
    <w:p>
      <w:pPr>
        <w:ind w:right="60" w:firstLine="436"/>
        <w:spacing w:after="0" w:line="266" w:lineRule="auto"/>
        <w:tabs>
          <w:tab w:leader="none" w:pos="6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Joinder shall be a Transaction Document (within the meaning of such term under the Purchase Agreement), shall be binding upon and enforceable against the New Guarantor and its successors and assigns, and shall inure to the benefit of and be enforceable by each Guaranteed Party and its successors and assigns. This Joinder and its attachments are hereby incorporated into the Guaranty and made a part thereof.</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[Signature page follow]</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Guaranty</w:t>
      </w:r>
    </w:p>
    <w:p>
      <w:pPr>
        <w:sectPr>
          <w:pgSz w:w="11900" w:h="16838" w:orient="portrait"/>
          <w:cols w:equalWidth="0" w:num="1">
            <w:col w:w="11020"/>
          </w:cols>
          <w:pgMar w:left="440" w:top="270" w:right="439" w:bottom="1440" w:gutter="0" w:footer="0" w:header="0"/>
        </w:sectPr>
      </w:pPr>
    </w:p>
    <w:bookmarkStart w:id="117" w:name="page118"/>
    <w:bookmarkEnd w:id="117"/>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New Guarantor has caused this Joinder to be executed under seal by its duly authorized officer as of the date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written.</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[NAME OF NEW GUARANTOR]</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Guaranty</w:t>
      </w:r>
    </w:p>
    <w:p>
      <w:pPr>
        <w:sectPr>
          <w:pgSz w:w="11900" w:h="16838" w:orient="portrait"/>
          <w:cols w:equalWidth="0" w:num="1">
            <w:col w:w="10980"/>
          </w:cols>
          <w:pgMar w:left="440" w:top="266" w:right="47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18"/>
          <w:szCs w:val="18"/>
          <w:b w:val="1"/>
          <w:bCs w:val="1"/>
          <w:color w:val="auto"/>
        </w:rPr>
        <w:t xml:space="preserve"> 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OF PAYMENT NOTICE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266" w:right="1440"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OF] PAYMENT NOTICE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202[•]</w:t>
      </w:r>
    </w:p>
    <w:p>
      <w:pPr>
        <w:spacing w:after="0" w:line="225"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The undersigned, being the duly elected and acting of ImmunityBio,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does hereby certify to Infinity SA LLC, as agent for the Purchasers (the “</w:t>
      </w:r>
      <w:r>
        <w:rPr>
          <w:rFonts w:ascii="Times New Roman" w:cs="Times New Roman" w:eastAsia="Times New Roman" w:hAnsi="Times New Roman"/>
          <w:sz w:val="18"/>
          <w:szCs w:val="18"/>
          <w:b w:val="1"/>
          <w:bCs w:val="1"/>
          <w:color w:val="auto"/>
        </w:rPr>
        <w:t>Purchaser Agent</w:t>
      </w:r>
      <w:r>
        <w:rPr>
          <w:rFonts w:ascii="Times New Roman" w:cs="Times New Roman" w:eastAsia="Times New Roman" w:hAnsi="Times New Roman"/>
          <w:sz w:val="18"/>
          <w:szCs w:val="18"/>
          <w:color w:val="auto"/>
        </w:rPr>
        <w:t>”) in connection with that certain Revenue Interest Purchase Agreement, dated as of December 29, 2023, by and among the Company, Purchaser Agent and the Purchasers from time to time party thereto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with other capitalized terms used below having the meanings ascribed thereto in the Purchase Agreement) that:</w:t>
      </w:r>
    </w:p>
    <w:p>
      <w:pPr>
        <w:spacing w:after="0" w:line="72" w:lineRule="exact"/>
        <w:rPr>
          <w:sz w:val="20"/>
          <w:szCs w:val="20"/>
          <w:color w:val="auto"/>
        </w:rPr>
      </w:pPr>
    </w:p>
    <w:p>
      <w:pPr>
        <w:ind w:firstLine="436"/>
        <w:spacing w:after="0" w:line="255" w:lineRule="auto"/>
        <w:tabs>
          <w:tab w:leader="none" w:pos="6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made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of the Purchase Agreement are true, correct and complete in all material respects as of the date hereof (except that such materiality qualifier is not applicable to any representations and warranties that already are qualified or modified by materiality in the text thereof); and provided, further, that those representations and warranties expressly referring to a specific date are true, correct and complete in all material respects as of such date (except that such materiality qualifier is not applicable to any representations and warranties that already are qualified or modified by materiality in the text thereof); </w:t>
      </w:r>
      <w:r>
        <w:rPr>
          <w:rFonts w:ascii="Times New Roman" w:cs="Times New Roman" w:eastAsia="Times New Roman" w:hAnsi="Times New Roman"/>
          <w:sz w:val="18"/>
          <w:szCs w:val="18"/>
          <w:u w:val="single" w:color="auto"/>
          <w:color w:val="0000FF"/>
        </w:rPr>
        <w:t>provided</w:t>
      </w:r>
      <w:r>
        <w:rPr>
          <w:rFonts w:ascii="Times New Roman" w:cs="Times New Roman" w:eastAsia="Times New Roman" w:hAnsi="Times New Roman"/>
          <w:sz w:val="18"/>
          <w:szCs w:val="18"/>
          <w:color w:val="auto"/>
        </w:rPr>
        <w:t xml:space="preserve">, that solely in respect of the Second Payment </w:t>
      </w:r>
      <w:r>
        <w:rPr>
          <w:rFonts w:ascii="Times New Roman" w:cs="Times New Roman" w:eastAsia="Times New Roman" w:hAnsi="Times New Roman"/>
          <w:sz w:val="18"/>
          <w:szCs w:val="18"/>
          <w:color w:val="0000FF"/>
        </w:rPr>
        <w:t>or the Third Payment, as applicable</w:t>
      </w:r>
      <w:r>
        <w:rPr>
          <w:rFonts w:ascii="Times New Roman" w:cs="Times New Roman" w:eastAsia="Times New Roman" w:hAnsi="Times New Roman"/>
          <w:sz w:val="18"/>
          <w:szCs w:val="18"/>
          <w:color w:val="auto"/>
        </w:rPr>
        <w:t xml:space="preserve">, such representations and warranties shall be qualified by the matters disclosed in the Second Payment Date Disclosure Notice </w:t>
      </w:r>
      <w:r>
        <w:rPr>
          <w:rFonts w:ascii="Times New Roman" w:cs="Times New Roman" w:eastAsia="Times New Roman" w:hAnsi="Times New Roman"/>
          <w:sz w:val="18"/>
          <w:szCs w:val="18"/>
          <w:color w:val="0000FF"/>
        </w:rPr>
        <w:t>or Third Payment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Disclosure Notice, as applicable</w:t>
      </w:r>
      <w:r>
        <w:rPr>
          <w:rFonts w:ascii="Times New Roman" w:cs="Times New Roman" w:eastAsia="Times New Roman" w:hAnsi="Times New Roman"/>
          <w:sz w:val="18"/>
          <w:szCs w:val="18"/>
          <w:color w:val="000000"/>
        </w:rPr>
        <w:t>.</w:t>
      </w:r>
    </w:p>
    <w:p>
      <w:pPr>
        <w:spacing w:after="0" w:line="80" w:lineRule="exact"/>
        <w:rPr>
          <w:rFonts w:ascii="Times New Roman" w:cs="Times New Roman" w:eastAsia="Times New Roman" w:hAnsi="Times New Roman"/>
          <w:sz w:val="18"/>
          <w:szCs w:val="18"/>
          <w:color w:val="auto"/>
        </w:rPr>
      </w:pPr>
    </w:p>
    <w:p>
      <w:pPr>
        <w:ind w:right="280" w:firstLine="436"/>
        <w:spacing w:after="0" w:line="261" w:lineRule="auto"/>
        <w:tabs>
          <w:tab w:leader="none" w:pos="6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Obligors have provided all financial statements, reports or notices required under the Transaction Documents prior to the Payment Date, including, in each case, to the extent required under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of the Purchase Agreement;</w:t>
      </w:r>
    </w:p>
    <w:p>
      <w:pPr>
        <w:ind w:right="60" w:firstLine="436"/>
        <w:spacing w:after="0" w:line="260" w:lineRule="auto"/>
        <w:tabs>
          <w:tab w:leader="none" w:pos="6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Put Option Event has occurred and is continuing, and no event has occurred and is continuing which, with the giving of notice or passage of time, would constitute a Put Option Event.</w:t>
      </w:r>
    </w:p>
    <w:p>
      <w:pPr>
        <w:spacing w:after="0" w:line="73" w:lineRule="exact"/>
        <w:rPr>
          <w:rFonts w:ascii="Times New Roman" w:cs="Times New Roman" w:eastAsia="Times New Roman" w:hAnsi="Times New Roman"/>
          <w:sz w:val="18"/>
          <w:szCs w:val="18"/>
          <w:color w:val="auto"/>
        </w:rPr>
      </w:pPr>
    </w:p>
    <w:p>
      <w:pPr>
        <w:ind w:right="180" w:firstLine="436"/>
        <w:spacing w:after="0" w:line="282" w:lineRule="auto"/>
        <w:tabs>
          <w:tab w:leader="none" w:pos="6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conditions referred to in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of the Purchase Agreement for the [First Payment][Second Payment]</w:t>
      </w:r>
      <w:r>
        <w:rPr>
          <w:rFonts w:ascii="Times New Roman" w:cs="Times New Roman" w:eastAsia="Times New Roman" w:hAnsi="Times New Roman"/>
          <w:sz w:val="18"/>
          <w:szCs w:val="18"/>
          <w:u w:val="single" w:color="auto"/>
          <w:color w:val="0000FF"/>
        </w:rPr>
        <w:t>[Third Payment]</w:t>
      </w:r>
      <w:r>
        <w:rPr>
          <w:rFonts w:ascii="Times New Roman" w:cs="Times New Roman" w:eastAsia="Times New Roman" w:hAnsi="Times New Roman"/>
          <w:sz w:val="18"/>
          <w:szCs w:val="18"/>
          <w:color w:val="auto"/>
        </w:rPr>
        <w:t xml:space="preserve"> to be made on or about the date hereof have been satisfied or waived by Purchaser Agent.</w:t>
      </w:r>
    </w:p>
    <w:p>
      <w:pPr>
        <w:spacing w:after="0" w:line="53"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been any Material Adverse Effect since December 31, 2022.</w:t>
      </w:r>
    </w:p>
    <w:p>
      <w:pPr>
        <w:spacing w:after="0" w:line="117"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duly authorized to execute this Payment Notice on behalf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-1619250</wp:posOffset>
            </wp:positionV>
            <wp:extent cx="4025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02590" cy="825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-1619250</wp:posOffset>
            </wp:positionV>
            <wp:extent cx="165417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654175" cy="8255"/>
                    </a:xfrm>
                    <a:prstGeom prst="rect">
                      <a:avLst/>
                    </a:prstGeom>
                    <a:noFill/>
                  </pic:spPr>
                </pic:pic>
              </a:graphicData>
            </a:graphic>
          </wp:anchor>
        </w:drawing>
        <w:drawing>
          <wp:anchor simplePos="0" relativeHeight="251657728" behindDoc="1" locked="0" layoutInCell="0" allowOverlap="1">
            <wp:simplePos x="0" y="0"/>
            <wp:positionH relativeFrom="column">
              <wp:posOffset>5229225</wp:posOffset>
            </wp:positionH>
            <wp:positionV relativeFrom="paragraph">
              <wp:posOffset>-1653540</wp:posOffset>
            </wp:positionV>
            <wp:extent cx="165290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652905" cy="8890"/>
                    </a:xfrm>
                    <a:prstGeom prst="rect">
                      <a:avLst/>
                    </a:prstGeom>
                    <a:noFill/>
                  </pic:spPr>
                </pic:pic>
              </a:graphicData>
            </a:graphic>
          </wp:anchor>
        </w:drawing>
        <w:drawing>
          <wp:anchor simplePos="0" relativeHeight="251657728" behindDoc="1" locked="0" layoutInCell="0" allowOverlap="1">
            <wp:simplePos x="0" y="0"/>
            <wp:positionH relativeFrom="column">
              <wp:posOffset>5741035</wp:posOffset>
            </wp:positionH>
            <wp:positionV relativeFrom="paragraph">
              <wp:posOffset>-1482090</wp:posOffset>
            </wp:positionV>
            <wp:extent cx="108013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080135" cy="8890"/>
                    </a:xfrm>
                    <a:prstGeom prst="rect">
                      <a:avLst/>
                    </a:prstGeom>
                    <a:noFill/>
                  </pic:spPr>
                </pic:pic>
              </a:graphicData>
            </a:graphic>
          </wp:anchor>
        </w:drawing>
        <w:drawing>
          <wp:anchor simplePos="0" relativeHeight="251657728" behindDoc="1" locked="0" layoutInCell="0" allowOverlap="1">
            <wp:simplePos x="0" y="0"/>
            <wp:positionH relativeFrom="column">
              <wp:posOffset>5743575</wp:posOffset>
            </wp:positionH>
            <wp:positionV relativeFrom="paragraph">
              <wp:posOffset>-1516380</wp:posOffset>
            </wp:positionV>
            <wp:extent cx="107886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0788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-1344930</wp:posOffset>
            </wp:positionV>
            <wp:extent cx="14744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5449570</wp:posOffset>
            </wp:positionH>
            <wp:positionV relativeFrom="paragraph">
              <wp:posOffset>-521970</wp:posOffset>
            </wp:positionV>
            <wp:extent cx="7543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[Balance of Page Intentionally Left Blank]</w:t>
      </w:r>
    </w:p>
    <w:p>
      <w:pPr>
        <w:sectPr>
          <w:pgSz w:w="11900" w:h="16838" w:orient="portrait"/>
          <w:cols w:equalWidth="0" w:num="1">
            <w:col w:w="11020"/>
          </w:cols>
          <w:pgMar w:left="440" w:top="266" w:right="439" w:bottom="1440" w:gutter="0" w:footer="0" w:header="0"/>
        </w:sectPr>
      </w:pPr>
    </w:p>
    <w:bookmarkStart w:id="120" w:name="page121"/>
    <w:bookmarkEnd w:id="120"/>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 The proceeds of the payments issued on the [First Payment][Second Payment]</w:t>
      </w:r>
      <w:r>
        <w:rPr>
          <w:rFonts w:ascii="Times New Roman" w:cs="Times New Roman" w:eastAsia="Times New Roman" w:hAnsi="Times New Roman"/>
          <w:sz w:val="18"/>
          <w:szCs w:val="18"/>
          <w:u w:val="single" w:color="auto"/>
          <w:color w:val="0000FF"/>
        </w:rPr>
        <w:t>[Third Payment]</w:t>
      </w:r>
      <w:r>
        <w:rPr>
          <w:rFonts w:ascii="Times New Roman" w:cs="Times New Roman" w:eastAsia="Times New Roman" w:hAnsi="Times New Roman"/>
          <w:sz w:val="18"/>
          <w:szCs w:val="18"/>
          <w:color w:val="auto"/>
        </w:rPr>
        <w:t xml:space="preserve"> shall be disbursed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3968750</wp:posOffset>
            </wp:positionH>
            <wp:positionV relativeFrom="paragraph">
              <wp:posOffset>26035</wp:posOffset>
            </wp:positionV>
            <wp:extent cx="76327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26" w:lineRule="exact"/>
        <w:rPr>
          <w:sz w:val="20"/>
          <w:szCs w:val="20"/>
          <w:color w:val="auto"/>
        </w:rPr>
      </w:pPr>
    </w:p>
    <w:tbl>
      <w:tblPr>
        <w:tblLayout w:type="fixed"/>
        <w:tblInd w:w="1764" w:type="dxa"/>
        <w:tblCellMar>
          <w:top w:w="0" w:type="dxa"/>
          <w:left w:w="0" w:type="dxa"/>
          <w:bottom w:w="0" w:type="dxa"/>
          <w:right w:w="0" w:type="dxa"/>
        </w:tblCellMar>
      </w:tblPr>
      <w:tr>
        <w:trPr>
          <w:trHeight w:val="173"/>
        </w:trPr>
        <w:tc>
          <w:tcPr>
            <w:tcW w:w="5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From Purchasers:</w:t>
            </w:r>
          </w:p>
        </w:tc>
        <w:tc>
          <w:tcPr>
            <w:tcW w:w="1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Amount</w:t>
            </w:r>
          </w:p>
        </w:tc>
        <w:tc>
          <w:tcPr>
            <w:tcW w:w="15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[__]</w:t>
            </w:r>
          </w:p>
        </w:tc>
      </w:tr>
      <w:tr>
        <w:trPr>
          <w:trHeight w:val="216"/>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w:t>
            </w:r>
          </w:p>
        </w:tc>
        <w:tc>
          <w:tcPr>
            <w:tcW w:w="15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—[__]</w:t>
            </w:r>
          </w:p>
        </w:tc>
        <w:tc>
          <w:tcPr>
            <w:tcW w:w="15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[__]</w:t>
            </w:r>
          </w:p>
        </w:tc>
      </w:tr>
      <w:tr>
        <w:trPr>
          <w:trHeight w:val="216"/>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w:t>
            </w:r>
          </w:p>
        </w:tc>
        <w:tc>
          <w:tcPr>
            <w:tcW w:w="15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—[__]</w:t>
            </w:r>
          </w:p>
        </w:tc>
        <w:tc>
          <w:tcPr>
            <w:tcW w:w="15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[__]</w:t>
            </w:r>
          </w:p>
        </w:tc>
      </w:tr>
      <w:tr>
        <w:trPr>
          <w:trHeight w:val="216"/>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—Purchasers’ Fees and Expenses, if known</w:t>
            </w:r>
          </w:p>
        </w:tc>
        <w:tc>
          <w:tcPr>
            <w:tcW w:w="24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($__________)*</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PROCEEDS FROM PURCHASERS</w:t>
            </w:r>
          </w:p>
        </w:tc>
        <w:tc>
          <w:tcPr>
            <w:tcW w:w="24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 __________</w:t>
            </w:r>
          </w:p>
        </w:tc>
      </w:tr>
    </w:tbl>
    <w:p>
      <w:pPr>
        <w:spacing w:after="0" w:line="198" w:lineRule="exact"/>
        <w:rPr>
          <w:sz w:val="20"/>
          <w:szCs w:val="20"/>
          <w:color w:val="auto"/>
        </w:rPr>
      </w:pPr>
    </w:p>
    <w:p>
      <w:pPr>
        <w:ind w:left="4" w:firstLine="436"/>
        <w:spacing w:after="0" w:line="282" w:lineRule="auto"/>
        <w:tabs>
          <w:tab w:leader="none" w:pos="62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net proceeds of the [First Payment][Second Payment]</w:t>
      </w:r>
      <w:r>
        <w:rPr>
          <w:rFonts w:ascii="Times New Roman" w:cs="Times New Roman" w:eastAsia="Times New Roman" w:hAnsi="Times New Roman"/>
          <w:sz w:val="18"/>
          <w:szCs w:val="18"/>
          <w:u w:val="single" w:color="auto"/>
          <w:color w:val="0000FF"/>
        </w:rPr>
        <w:t>[Third Payment]</w:t>
      </w:r>
      <w:r>
        <w:rPr>
          <w:rFonts w:ascii="Times New Roman" w:cs="Times New Roman" w:eastAsia="Times New Roman" w:hAnsi="Times New Roman"/>
          <w:sz w:val="18"/>
          <w:szCs w:val="18"/>
          <w:color w:val="auto"/>
        </w:rPr>
        <w:t xml:space="preserve"> shall be transferred to a deposit account of the Company, which is subject to a Control Agreement,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3522980</wp:posOffset>
            </wp:positionH>
            <wp:positionV relativeFrom="paragraph">
              <wp:posOffset>-151130</wp:posOffset>
            </wp:positionV>
            <wp:extent cx="7543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142" w:lineRule="exact"/>
        <w:rPr>
          <w:sz w:val="20"/>
          <w:szCs w:val="20"/>
          <w:color w:val="auto"/>
        </w:rPr>
      </w:pPr>
    </w:p>
    <w:p>
      <w:pPr>
        <w:jc w:val="center"/>
        <w:ind w:right="-143"/>
        <w:spacing w:after="0"/>
        <w:rPr>
          <w:sz w:val="20"/>
          <w:szCs w:val="20"/>
          <w:color w:val="auto"/>
        </w:rPr>
      </w:pPr>
      <w:r>
        <w:rPr>
          <w:rFonts w:ascii="Times New Roman" w:cs="Times New Roman" w:eastAsia="Times New Roman" w:hAnsi="Times New Roman"/>
          <w:sz w:val="18"/>
          <w:szCs w:val="18"/>
          <w:color w:val="auto"/>
        </w:rPr>
        <w:t>[Company Wire Instructions]</w:t>
      </w:r>
    </w:p>
    <w:p>
      <w:pPr>
        <w:spacing w:after="0" w:line="221" w:lineRule="exact"/>
        <w:rPr>
          <w:sz w:val="20"/>
          <w:szCs w:val="20"/>
          <w:color w:val="auto"/>
        </w:rPr>
      </w:pPr>
    </w:p>
    <w:p>
      <w:pPr>
        <w:jc w:val="center"/>
        <w:ind w:right="-143"/>
        <w:spacing w:after="0"/>
        <w:rPr>
          <w:sz w:val="20"/>
          <w:szCs w:val="20"/>
          <w:color w:val="auto"/>
        </w:rPr>
      </w:pPr>
      <w:r>
        <w:rPr>
          <w:rFonts w:ascii="Times New Roman" w:cs="Times New Roman" w:eastAsia="Times New Roman" w:hAnsi="Times New Roman"/>
          <w:sz w:val="18"/>
          <w:szCs w:val="18"/>
          <w:b w:val="1"/>
          <w:bCs w:val="1"/>
          <w:i w:val="1"/>
          <w:iCs w:val="1"/>
          <w:color w:val="auto"/>
        </w:rPr>
        <w:t>[Balance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268605</wp:posOffset>
            </wp:positionV>
            <wp:extent cx="77152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424" w:right="320" w:hanging="424"/>
        <w:spacing w:after="0" w:line="208" w:lineRule="auto"/>
        <w:tabs>
          <w:tab w:leader="none" w:pos="424" w:val="left"/>
        </w:tabs>
        <w:numPr>
          <w:ilvl w:val="0"/>
          <w:numId w:val="15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Legal fees and costs invoiced at closing are through the Closing Date. Post-closing legal fees and costs, payable after the Closing Date, to be invoiced and paid post-closing.</w:t>
      </w:r>
    </w:p>
    <w:p>
      <w:pPr>
        <w:sectPr>
          <w:pgSz w:w="11900" w:h="16838" w:orient="portrait"/>
          <w:cols w:equalWidth="0" w:num="1">
            <w:col w:w="10884"/>
          </w:cols>
          <w:pgMar w:left="436" w:top="270" w:right="579" w:bottom="1440" w:gutter="0" w:footer="0" w:header="0"/>
        </w:sectPr>
      </w:pPr>
    </w:p>
    <w:bookmarkStart w:id="121" w:name="page122"/>
    <w:bookmarkEnd w:id="121"/>
    <w:p>
      <w:pPr>
        <w:ind w:left="3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Dated as of the date first set forth above.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IMMUNITYBIO,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ectPr>
          <w:pgSz w:w="11900" w:h="16838" w:orient="portrait"/>
          <w:cols w:equalWidth="0" w:num="1">
            <w:col w:w="10019"/>
          </w:cols>
          <w:pgMar w:left="440" w:top="270" w:right="1440" w:bottom="1440" w:gutter="0" w:footer="0" w:header="0"/>
        </w:sectPr>
      </w:pPr>
    </w:p>
    <w:bookmarkStart w:id="122" w:name="page123"/>
    <w:bookmarkEnd w:id="122"/>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t>Customary Subordination Terms</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Capitalized terms used but not defined in this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shall have the meaning provided in the Agreement.</w:t>
      </w:r>
    </w:p>
    <w:p>
      <w:pPr>
        <w:spacing w:after="0" w:line="225" w:lineRule="exact"/>
        <w:rPr>
          <w:sz w:val="20"/>
          <w:szCs w:val="20"/>
          <w:color w:val="auto"/>
        </w:rPr>
      </w:pPr>
    </w:p>
    <w:p>
      <w:pPr>
        <w:ind w:left="4" w:right="140" w:firstLine="440"/>
        <w:spacing w:after="0" w:line="209" w:lineRule="auto"/>
        <w:rPr>
          <w:sz w:val="20"/>
          <w:szCs w:val="20"/>
          <w:color w:val="auto"/>
        </w:rPr>
      </w:pPr>
      <w:r>
        <w:rPr>
          <w:rFonts w:ascii="Times New Roman" w:cs="Times New Roman" w:eastAsia="Times New Roman" w:hAnsi="Times New Roman"/>
          <w:sz w:val="18"/>
          <w:szCs w:val="18"/>
          <w:color w:val="auto"/>
        </w:rPr>
        <w:t>The payment in cash of the principal of and accrued and unpaid interest, if any, on, [the redemption price or]</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[fundamental change repurchase price]</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of, or any cash portion of the conversion obligation [(if the Company has elected cash settlement or combination settlement)] (excluding cash payable in lieu of delivering fractional shares) due upon conversion of, the notes (collectively, a “Cash Payment”) is subordinated to the prior payment in full, in cash or other payment satisfactory to the holders of senior indebtedness, of all then-existing senior indebtedness.</w:t>
      </w:r>
    </w:p>
    <w:p>
      <w:pPr>
        <w:spacing w:after="0" w:line="199"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If at any time the Company is not permitted to pay, repurchase [, redeem] or otherwise acquire the notes in accordance with its terms pursuant to the provisions of this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such failure to pay, repurchase [, redeem] or otherwise acquire the notes shall not result in any default or event of default under the applicable indenture.</w:t>
      </w:r>
    </w:p>
    <w:p>
      <w:pPr>
        <w:spacing w:after="0" w:line="176"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If the Company dissolves, winds-up, liquidates or reorganizes, or if the Company is the subject of any bankruptcy, insolvency or similar proceeding, the Company will pay the holders of senior indebtedness in full in cash or other payment satisfactory to the holders of senior indebtedness before the Company pays any Cash Payment to the holders of the notes.</w:t>
      </w:r>
    </w:p>
    <w:p>
      <w:pPr>
        <w:spacing w:after="0" w:line="176"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Subject to the terms herein, the Company may make payments on or distribution to the trustee or any holder in respect of its obligations under the notes or repurchase [, redeem] or otherwise acquire the notes to the extent permitted under the terms of the senior indebtedness.</w:t>
      </w:r>
    </w:p>
    <w:p>
      <w:pPr>
        <w:spacing w:after="0" w:line="162" w:lineRule="exact"/>
        <w:rPr>
          <w:sz w:val="20"/>
          <w:szCs w:val="20"/>
          <w:color w:val="auto"/>
        </w:rPr>
      </w:pPr>
    </w:p>
    <w:p>
      <w:pPr>
        <w:ind w:left="4" w:firstLine="440"/>
        <w:spacing w:after="0" w:line="224" w:lineRule="auto"/>
        <w:rPr>
          <w:sz w:val="20"/>
          <w:szCs w:val="20"/>
          <w:color w:val="auto"/>
        </w:rPr>
      </w:pPr>
      <w:r>
        <w:rPr>
          <w:rFonts w:ascii="Times New Roman" w:cs="Times New Roman" w:eastAsia="Times New Roman" w:hAnsi="Times New Roman"/>
          <w:sz w:val="18"/>
          <w:szCs w:val="18"/>
          <w:color w:val="auto"/>
        </w:rPr>
        <w:t>If the notes are accelerated because of an event of default under the indenture or subject to repurchase by the Company at the option of the holders following a [fundamental change]</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the Company must pay the holders of senior indebtedness in full all amounts due and owing thereunder before the Company pays any Cash Payment to holders of the notes.</w:t>
      </w:r>
    </w:p>
    <w:p>
      <w:pPr>
        <w:spacing w:after="0" w:line="199"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The Company may not make any payment on or distribution to the trustee or any holder in respect of its obligations under the notes or repurchase [, redeem] or otherwise acquire the notes if:</w:t>
      </w:r>
    </w:p>
    <w:p>
      <w:pPr>
        <w:spacing w:after="0" w:line="189" w:lineRule="exact"/>
        <w:rPr>
          <w:sz w:val="20"/>
          <w:szCs w:val="20"/>
          <w:color w:val="auto"/>
        </w:rPr>
      </w:pPr>
    </w:p>
    <w:p>
      <w:pPr>
        <w:ind w:left="964" w:hanging="424"/>
        <w:spacing w:after="0"/>
        <w:tabs>
          <w:tab w:leader="none" w:pos="96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any senior indebtedness occurs and is continuing beyond any applicable period of grace; or</w:t>
      </w:r>
    </w:p>
    <w:p>
      <w:pPr>
        <w:spacing w:after="0" w:line="252" w:lineRule="exact"/>
        <w:rPr>
          <w:rFonts w:ascii="Times New Roman" w:cs="Times New Roman" w:eastAsia="Times New Roman" w:hAnsi="Times New Roman"/>
          <w:sz w:val="18"/>
          <w:szCs w:val="18"/>
          <w:color w:val="auto"/>
        </w:rPr>
      </w:pPr>
    </w:p>
    <w:p>
      <w:pPr>
        <w:ind w:left="964" w:right="260" w:hanging="424"/>
        <w:spacing w:after="0" w:line="266" w:lineRule="auto"/>
        <w:tabs>
          <w:tab w:leader="none" w:pos="96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default (a “nonpayment default”) of designated senior indebtedness occurs and is continuing that permits any holder of designated senior indebtedness to accelerate its maturity and the trustee receives a notice of such default (a “payment blockage notice”) from the Company or any other person permitted to give such notice under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234950</wp:posOffset>
            </wp:positionV>
            <wp:extent cx="7715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96" w:lineRule="exact"/>
        <w:rPr>
          <w:sz w:val="20"/>
          <w:szCs w:val="20"/>
          <w:color w:val="auto"/>
        </w:rPr>
      </w:pPr>
    </w:p>
    <w:p>
      <w:pPr>
        <w:ind w:left="424" w:hanging="424"/>
        <w:spacing w:after="0"/>
        <w:tabs>
          <w:tab w:leader="none" w:pos="424" w:val="left"/>
        </w:tabs>
        <w:numPr>
          <w:ilvl w:val="0"/>
          <w:numId w:val="15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included if the convertible notes include a redemption feature.</w:t>
      </w:r>
    </w:p>
    <w:p>
      <w:pPr>
        <w:ind w:left="424" w:hanging="424"/>
        <w:spacing w:after="0" w:line="180" w:lineRule="auto"/>
        <w:tabs>
          <w:tab w:leader="none" w:pos="424" w:val="left"/>
        </w:tabs>
        <w:numPr>
          <w:ilvl w:val="0"/>
          <w:numId w:val="15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To be conformed to the applicable definition relating to change of control, fundamental change or similar provision.</w:t>
      </w:r>
    </w:p>
    <w:p>
      <w:pPr>
        <w:ind w:left="424" w:hanging="424"/>
        <w:spacing w:after="0" w:line="180" w:lineRule="auto"/>
        <w:tabs>
          <w:tab w:leader="none" w:pos="424" w:val="left"/>
        </w:tabs>
        <w:numPr>
          <w:ilvl w:val="0"/>
          <w:numId w:val="15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To be conformed to the applicable definition relating to change of control, fundamental change or similar provision.</w:t>
      </w:r>
    </w:p>
    <w:p>
      <w:pPr>
        <w:sectPr>
          <w:pgSz w:w="11900" w:h="16838" w:orient="portrait"/>
          <w:cols w:equalWidth="0" w:num="1">
            <w:col w:w="10984"/>
          </w:cols>
          <w:pgMar w:left="436" w:top="266" w:right="47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may resume payments on, repurchase [, redeem] or otherwise acquire, the notes:</w:t>
      </w:r>
    </w:p>
    <w:p>
      <w:pPr>
        <w:spacing w:after="0" w:line="131" w:lineRule="exact"/>
        <w:rPr>
          <w:sz w:val="20"/>
          <w:szCs w:val="20"/>
          <w:color w:val="auto"/>
        </w:rPr>
      </w:pPr>
    </w:p>
    <w:p>
      <w:pPr>
        <w:ind w:left="960" w:hanging="424"/>
        <w:spacing w:after="0"/>
        <w:tabs>
          <w:tab w:leader="none" w:pos="9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 payment default of senior indebtedness, upon the date on which such default is cured or waived or ceases to exist; and</w:t>
      </w:r>
    </w:p>
    <w:p>
      <w:pPr>
        <w:spacing w:after="0" w:line="130" w:lineRule="exact"/>
        <w:rPr>
          <w:rFonts w:ascii="Times New Roman" w:cs="Times New Roman" w:eastAsia="Times New Roman" w:hAnsi="Times New Roman"/>
          <w:sz w:val="18"/>
          <w:szCs w:val="18"/>
          <w:color w:val="auto"/>
        </w:rPr>
      </w:pPr>
    </w:p>
    <w:p>
      <w:pPr>
        <w:ind w:left="960" w:hanging="424"/>
        <w:spacing w:after="0" w:line="261" w:lineRule="auto"/>
        <w:tabs>
          <w:tab w:leader="none" w:pos="9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 nonpayment default of designated senior indebtedness, the earlier of the date on which such nonpayment default is cured, waived or ceases to exist or 179 days after the date on which the payment blockage notice is received by the trustee unless the maturity of any designated senior indebtedness has been accelerated and all scheduled payments on the notes that have come due have been paid in full in cash.</w:t>
      </w:r>
    </w:p>
    <w:p>
      <w:pPr>
        <w:spacing w:after="0" w:line="180"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No new period of payment blockage may be commenced for a default unless at least 365 days have elapsed since the trustee’s receipt of the prior payment blockage notice.</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No nonpayment default that existed or was continuing on the date of the receipt by the trustee of any payment blockage notice shall be the basis for a subsequent payment blockage notice.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either the trustee or any holder of notes receives any payment of any obligations with respect to the notes when:</w:t>
      </w:r>
    </w:p>
    <w:p>
      <w:pPr>
        <w:spacing w:after="0" w:line="131" w:lineRule="exact"/>
        <w:rPr>
          <w:sz w:val="20"/>
          <w:szCs w:val="20"/>
          <w:color w:val="auto"/>
        </w:rPr>
      </w:pPr>
    </w:p>
    <w:p>
      <w:pPr>
        <w:ind w:left="960" w:hanging="424"/>
        <w:spacing w:after="0"/>
        <w:tabs>
          <w:tab w:leader="none" w:pos="9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is prohibited by these subordination provisions;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or the holder of notes has actual knowledge that the payment is prohibited,</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trustee or the holder of notes, as the case may be, will hold the payment in trust for the benefit of the holders of senior indebtedness. Upon the proper written request of the holders of senior indebtedness, the trustee or the holder of notes, as the case may be, will deliver the amounts held in trust to the holders of senior indebtedness or their proper representative.</w:t>
      </w:r>
    </w:p>
    <w:p>
      <w:pPr>
        <w:spacing w:after="0" w:line="176"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Any claims of the trustee for compensation or indemnification shall not be subordinate to the Company’s senior indebtedness and shall be senior to claims of holders of notes in respect of all funds collected or held by the trustee.</w:t>
      </w:r>
    </w:p>
    <w:p>
      <w:pPr>
        <w:spacing w:after="0" w:line="16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trustee will not be deemed to owe any fiduciary duty to the holders of senior indebtedness and shall not be liable to any such holders of senior indebtedness if the trustee in good faith mistakenly pays over or distributes to holders or to the Company or to any other person, cash, property or securities to which any holders of senior indebtedness are entitled by virtue of these subordination terms or otherwise. The trustee in its individual capacity will be entitled to all of the rights set forth in the indenture with respect to any senior indebtedness which may at any time be held by the trustee, to the same extent as any other holder of senior indebtedness.</w:t>
      </w:r>
    </w:p>
    <w:p>
      <w:pPr>
        <w:spacing w:after="0" w:line="183"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above, the issuance and delivery of the Company’s shares (and cash in lieu of fractional shares) upon conversion of any note in accordance with the indenture and the notes or otherwise in exchange for any note will be deemed not to constitute a payment on or distribution in respect of the Company’s obligations under any note or any repurchase, redemption or other acquisition of any note.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terms will be defined as follows in the indenture:</w:t>
      </w:r>
    </w:p>
    <w:p>
      <w:pPr>
        <w:sectPr>
          <w:pgSz w:w="11900" w:h="16838" w:orient="portrait"/>
          <w:cols w:equalWidth="0" w:num="1">
            <w:col w:w="11020"/>
          </w:cols>
          <w:pgMar w:left="440" w:top="270" w:right="439" w:bottom="1440" w:gutter="0" w:footer="0" w:header="0"/>
        </w:sectPr>
      </w:pPr>
    </w:p>
    <w:bookmarkStart w:id="124" w:name="page125"/>
    <w:bookmarkEnd w:id="124"/>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“Designated senior indebtedness” means (i) the Company’s obligations under any particular senior indebtedness in which the instrument creating or evidencing the same or the assumption or guarantee thereof (or any related agreements or documents to which the Company is a party) that has an aggregate principal amount outstanding of at least $5.0 million (as of the date of determination) and expressly provides that such indebtedness is “designated senior indebtedness” for purposes of the indenture (provided that such instrument, agreement or other document may place limitations and conditions on the right of such senior indebtedness to exercise the rights of designated senior indebtedness), and (ii) the Company’s obligations under the Purchase Agreement and the notes issued thereunder (regardless of whether the aggregate principal amount of outstanding obligations thereunder is at least $5.0 million).</w:t>
      </w:r>
    </w:p>
    <w:p>
      <w:pPr>
        <w:spacing w:after="0" w:line="189"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“Exchange rate contract” means, with respect to any person, any currency swap agreement, forward exchange rate agreement, foreign currency future or option, exchange rate collar agreement, exchange rate insurance or other agreement or arrangement, or combination thereof, the principal purpose of which is to provide protection against fluctuations in currency exchange rates. An exchange rate contract may also include an interest rate agreement (as defined below).</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“Indebtedness” means, without duplication:</w:t>
      </w:r>
    </w:p>
    <w:p>
      <w:pPr>
        <w:spacing w:after="0" w:line="117" w:lineRule="exact"/>
        <w:rPr>
          <w:sz w:val="20"/>
          <w:szCs w:val="20"/>
          <w:color w:val="auto"/>
        </w:rPr>
      </w:pPr>
    </w:p>
    <w:p>
      <w:pPr>
        <w:ind w:left="980" w:firstLine="408"/>
        <w:spacing w:after="0" w:line="258" w:lineRule="auto"/>
        <w:tabs>
          <w:tab w:leader="none" w:pos="162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Company’s indebtedness, obligations and other liabilities (contingent or otherwise) for borrowed money (including any loans or advances from banks, whether or not evidenced by notes or similar instruments) or evidenced by credit or loan agreements, bonds, debentures, notes or similar instruments (whether or not the recourse of the lender is to the whole of our assets or to only a portion thereof), other than any trade accounts payable or other accrued current expense incurred in the ordinary course of business in connection with the obtaining of materials or services;</w:t>
      </w:r>
    </w:p>
    <w:p>
      <w:pPr>
        <w:spacing w:after="0" w:line="75" w:lineRule="exact"/>
        <w:rPr>
          <w:rFonts w:ascii="Times New Roman" w:cs="Times New Roman" w:eastAsia="Times New Roman" w:hAnsi="Times New Roman"/>
          <w:sz w:val="18"/>
          <w:szCs w:val="18"/>
          <w:color w:val="auto"/>
        </w:rPr>
      </w:pPr>
    </w:p>
    <w:p>
      <w:pPr>
        <w:ind w:left="980" w:right="140" w:firstLine="408"/>
        <w:spacing w:after="0" w:line="282" w:lineRule="auto"/>
        <w:tabs>
          <w:tab w:leader="none" w:pos="163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Company’s indebtedness, obligations and other liabilities (contingent or otherwise) under the Purchase Agreement and the notes issued thereunder;</w:t>
      </w:r>
    </w:p>
    <w:p>
      <w:pPr>
        <w:spacing w:after="0" w:line="53" w:lineRule="exact"/>
        <w:rPr>
          <w:rFonts w:ascii="Times New Roman" w:cs="Times New Roman" w:eastAsia="Times New Roman" w:hAnsi="Times New Roman"/>
          <w:sz w:val="18"/>
          <w:szCs w:val="18"/>
          <w:color w:val="auto"/>
        </w:rPr>
      </w:pPr>
    </w:p>
    <w:p>
      <w:pPr>
        <w:ind w:left="980" w:right="320" w:firstLine="408"/>
        <w:spacing w:after="0" w:line="282" w:lineRule="auto"/>
        <w:tabs>
          <w:tab w:leader="none" w:pos="162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Company’s reimbursement obligations and other liabilities (contingent or otherwise) with respect to letters of credit, bank guarantees or bankers’ acceptances;</w:t>
      </w:r>
    </w:p>
    <w:p>
      <w:pPr>
        <w:spacing w:after="0" w:line="53" w:lineRule="exact"/>
        <w:rPr>
          <w:rFonts w:ascii="Times New Roman" w:cs="Times New Roman" w:eastAsia="Times New Roman" w:hAnsi="Times New Roman"/>
          <w:sz w:val="18"/>
          <w:szCs w:val="18"/>
          <w:color w:val="auto"/>
        </w:rPr>
      </w:pPr>
    </w:p>
    <w:p>
      <w:pPr>
        <w:ind w:left="980" w:right="380" w:firstLine="408"/>
        <w:spacing w:after="0" w:line="282" w:lineRule="auto"/>
        <w:tabs>
          <w:tab w:leader="none" w:pos="163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Company’s obligations (contingent or otherwise) with respect to an interest rate agreement, exchange rate contract, treasury services agreement, cash management agreement or similar agreements or arrangements;</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Company’s direct or indirect guarantees, agreements to be jointly liable or similar agreements in respect of, and</w:t>
      </w:r>
    </w:p>
    <w:p>
      <w:pPr>
        <w:spacing w:after="0" w:line="27" w:lineRule="exact"/>
        <w:rPr>
          <w:rFonts w:ascii="Times New Roman" w:cs="Times New Roman" w:eastAsia="Times New Roman" w:hAnsi="Times New Roman"/>
          <w:sz w:val="18"/>
          <w:szCs w:val="18"/>
          <w:color w:val="auto"/>
        </w:rPr>
      </w:pPr>
    </w:p>
    <w:p>
      <w:pPr>
        <w:ind w:left="980"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or liabilities (contingent or otherwise) to purchase or otherwise acquire or otherwise assure a creditor against loss in respect of, indebtedness, obligations or liabilities of another person of the kind described in clauses (a) through (d) above;</w:t>
      </w:r>
    </w:p>
    <w:p>
      <w:pPr>
        <w:spacing w:after="0" w:line="73" w:lineRule="exact"/>
        <w:rPr>
          <w:rFonts w:ascii="Times New Roman" w:cs="Times New Roman" w:eastAsia="Times New Roman" w:hAnsi="Times New Roman"/>
          <w:sz w:val="18"/>
          <w:szCs w:val="18"/>
          <w:color w:val="auto"/>
        </w:rPr>
      </w:pPr>
    </w:p>
    <w:p>
      <w:pPr>
        <w:ind w:left="980" w:right="260" w:firstLine="408"/>
        <w:spacing w:after="0" w:line="266" w:lineRule="auto"/>
        <w:tabs>
          <w:tab w:leader="none" w:pos="160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or other obligations described in clauses (a) through (e) above secured by any mortgage, pledge, lien or other encumbrance existing on property which is owned or held by the Company, regardless of whether the indebtedness or other obligation secured thereby shall be assumed by the Company; and</w:t>
      </w:r>
    </w:p>
    <w:p>
      <w:pPr>
        <w:spacing w:after="0" w:line="67" w:lineRule="exact"/>
        <w:rPr>
          <w:rFonts w:ascii="Times New Roman" w:cs="Times New Roman" w:eastAsia="Times New Roman" w:hAnsi="Times New Roman"/>
          <w:sz w:val="18"/>
          <w:szCs w:val="18"/>
          <w:color w:val="auto"/>
        </w:rPr>
      </w:pPr>
    </w:p>
    <w:p>
      <w:pPr>
        <w:ind w:left="980" w:right="40" w:firstLine="408"/>
        <w:spacing w:after="0" w:line="282" w:lineRule="auto"/>
        <w:tabs>
          <w:tab w:leader="none" w:pos="163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deferrals, renewals, extensions and refundings of, or amendments, modifications or supplements to, any indebtedness, obligation or liability of the kind described in clauses (a) through (f) above.</w:t>
      </w:r>
    </w:p>
    <w:p>
      <w:pPr>
        <w:sectPr>
          <w:pgSz w:w="11900" w:h="16838" w:orient="portrait"/>
          <w:cols w:equalWidth="0" w:num="1">
            <w:col w:w="11000"/>
          </w:cols>
          <w:pgMar w:left="440" w:top="270" w:right="459" w:bottom="1440" w:gutter="0" w:footer="0" w:header="0"/>
        </w:sectPr>
      </w:pPr>
    </w:p>
    <w:bookmarkStart w:id="125" w:name="page126"/>
    <w:bookmarkEnd w:id="125"/>
    <w:p>
      <w:pPr>
        <w:ind w:right="20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the amount of indebtedness of any person at any date shall be the outstanding balance at such date of all unconditional obligations as described above, plus (without duplication) the maximum liability of such person for any such contingent obligations at such date.</w:t>
      </w:r>
    </w:p>
    <w:p>
      <w:pPr>
        <w:spacing w:after="0" w:line="140" w:lineRule="exact"/>
        <w:rPr>
          <w:sz w:val="20"/>
          <w:szCs w:val="20"/>
          <w:color w:val="auto"/>
        </w:rPr>
      </w:pPr>
    </w:p>
    <w:p>
      <w:pPr>
        <w:ind w:right="420" w:firstLine="440"/>
        <w:spacing w:after="0" w:line="312" w:lineRule="auto"/>
        <w:rPr>
          <w:sz w:val="20"/>
          <w:szCs w:val="20"/>
          <w:color w:val="auto"/>
        </w:rPr>
      </w:pPr>
      <w:r>
        <w:rPr>
          <w:rFonts w:ascii="Times New Roman" w:cs="Times New Roman" w:eastAsia="Times New Roman" w:hAnsi="Times New Roman"/>
          <w:sz w:val="17"/>
          <w:szCs w:val="17"/>
          <w:color w:val="auto"/>
        </w:rPr>
        <w:t>“Interest rate agreement” means, with respect to any person, any interest rate swap agreement, interest rate cap agreement, interest rate collar agreement or other similar agreement the principal purpose of which is to protect the party indicated therein against fluctuations in interest rates.</w:t>
      </w:r>
    </w:p>
    <w:p>
      <w:pPr>
        <w:spacing w:after="0" w:line="140"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“Purchase Agreement” means that certain Revenue Interest Purchase Agreement, dated as of December 29, 2023, by and among ImmunityBio, Inc., a Delaware corporation, as company, and Infinity SA LLC, a Delaware limited liability company, as Purchaser Agent, and the purchasers party thereto, as amended, restated, amended and restated, supplemented or otherwise modified from time to time.</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“Senior indebtedness” means the principal of, premium, if any, interest, final payment amounts, revenue interest payment, milestone payments and all fees, costs, expenses and other amounts accrued or due on or in connection with the Company’s indebtedness, whether secured or unsecured, absolute or contingent, due or to become due, outstanding on the date of the indenture or thereafter created (including all interest and other amounts accruing subsequent to the commencement of any bankruptcy, insolvency or similar proceeding, whether or not a claim for post-petition interest or such other amounts is allowable as a claim in any such proceeding), incurred, assumed, guaranteed or in effect guaranteed by the Company, including all deferrals, renewals, extensions or refundings of, or amendments, modifications or supplements to, the foregoing, unless in the case of any particular indebtedness the instrument creating or evidencing the same expressly provides that such indebtedness shall not be senior in right of payment to the notes or expressly provides that such indebtedness is on the same basis as, or junior to, the notes. Senior indebtedness does not include:</w:t>
      </w:r>
    </w:p>
    <w:p>
      <w:pPr>
        <w:spacing w:after="0" w:line="84" w:lineRule="exact"/>
        <w:rPr>
          <w:sz w:val="20"/>
          <w:szCs w:val="20"/>
          <w:color w:val="auto"/>
        </w:rPr>
      </w:pPr>
    </w:p>
    <w:p>
      <w:pPr>
        <w:ind w:left="980" w:right="480" w:firstLine="408"/>
        <w:spacing w:after="0" w:line="282" w:lineRule="auto"/>
        <w:tabs>
          <w:tab w:leader="none" w:pos="1625"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that expressly provides that such indebtedness shall not be senior in right of payment to the notes or expressly provides that such indebtedness is on the same basis as, or junior in right of payment to, the notes;</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that is expressly subordinated to any senior indebtedness;</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subordinated by operation of law;</w:t>
      </w:r>
    </w:p>
    <w:p>
      <w:pPr>
        <w:spacing w:after="0" w:line="117" w:lineRule="exact"/>
        <w:rPr>
          <w:rFonts w:ascii="Times New Roman" w:cs="Times New Roman" w:eastAsia="Times New Roman" w:hAnsi="Times New Roman"/>
          <w:sz w:val="18"/>
          <w:szCs w:val="18"/>
          <w:color w:val="auto"/>
        </w:rPr>
      </w:pPr>
    </w:p>
    <w:p>
      <w:pPr>
        <w:ind w:left="980" w:right="140" w:firstLine="408"/>
        <w:spacing w:after="0" w:line="282" w:lineRule="auto"/>
        <w:tabs>
          <w:tab w:leader="none" w:pos="1636"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payables and accrued expenses (including, without limitation, accrued compensation and accrued restructuring charges) or deferred purchase price for goods, services or materials purchased or provided in the ordinary course of business;</w:t>
      </w:r>
    </w:p>
    <w:p>
      <w:pPr>
        <w:spacing w:after="0" w:line="53" w:lineRule="exact"/>
        <w:rPr>
          <w:rFonts w:ascii="Times New Roman" w:cs="Times New Roman" w:eastAsia="Times New Roman" w:hAnsi="Times New Roman"/>
          <w:sz w:val="18"/>
          <w:szCs w:val="18"/>
          <w:color w:val="auto"/>
        </w:rPr>
      </w:pPr>
    </w:p>
    <w:p>
      <w:pPr>
        <w:ind w:left="980" w:right="300" w:firstLine="408"/>
        <w:spacing w:after="0" w:line="282" w:lineRule="auto"/>
        <w:tabs>
          <w:tab w:leader="none" w:pos="1625"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of the Company to or among any of its subsidiaries, or to a joint venture in which the Company or any of its subsidiaries has an interest;</w:t>
      </w:r>
    </w:p>
    <w:p>
      <w:pPr>
        <w:spacing w:after="0" w:line="53" w:lineRule="exact"/>
        <w:rPr>
          <w:rFonts w:ascii="Times New Roman" w:cs="Times New Roman" w:eastAsia="Times New Roman" w:hAnsi="Times New Roman"/>
          <w:sz w:val="18"/>
          <w:szCs w:val="18"/>
          <w:color w:val="auto"/>
        </w:rPr>
      </w:pPr>
    </w:p>
    <w:p>
      <w:pPr>
        <w:ind w:left="1620" w:hanging="232"/>
        <w:spacing w:after="0"/>
        <w:tabs>
          <w:tab w:leader="none" w:pos="162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of the Company that, when incurred, was without recourse to the Company;</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to any employee of the Company; and</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repurchase, redemption or other obligation in respect of the Company’s equity interests.</w:t>
      </w:r>
    </w:p>
    <w:p>
      <w:pPr>
        <w:sectPr>
          <w:pgSz w:w="11900" w:h="16838" w:orient="portrait"/>
          <w:cols w:equalWidth="0" w:num="1">
            <w:col w:w="11000"/>
          </w:cols>
          <w:pgMar w:left="440" w:top="270" w:right="45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954530" cy="5397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95453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25"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ImmunityBio Strengthens Balance Sheet with $100 Million of Financing Transactions Including $75 Million of Non-Dilutive Financing to Support Global Expansion and Advancement of Broader Immunotherapy Pipeline</w:t>
      </w:r>
    </w:p>
    <w:p>
      <w:pPr>
        <w:spacing w:after="0" w:line="64" w:lineRule="exact"/>
        <w:rPr>
          <w:sz w:val="20"/>
          <w:szCs w:val="20"/>
          <w:color w:val="auto"/>
        </w:rPr>
      </w:pPr>
    </w:p>
    <w:p>
      <w:pPr>
        <w:ind w:left="960" w:right="240" w:hanging="424"/>
        <w:spacing w:after="0" w:line="282" w:lineRule="auto"/>
        <w:tabs>
          <w:tab w:leader="none" w:pos="9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ImmunityBio to receive $75 million in non-dilutive funding under existing Revenue Interest Purchase Agreement (RIPA) with Oberland Capital, bringing total committed capital to $375 million</w:t>
      </w:r>
    </w:p>
    <w:p>
      <w:pPr>
        <w:spacing w:after="0" w:line="67" w:lineRule="exact"/>
        <w:rPr>
          <w:rFonts w:ascii="Times New Roman" w:cs="Times New Roman" w:eastAsia="Times New Roman" w:hAnsi="Times New Roman"/>
          <w:sz w:val="18"/>
          <w:szCs w:val="18"/>
          <w:color w:val="auto"/>
        </w:rPr>
      </w:pPr>
    </w:p>
    <w:p>
      <w:pPr>
        <w:ind w:left="960" w:right="400" w:hanging="424"/>
        <w:spacing w:after="0" w:line="282" w:lineRule="auto"/>
        <w:tabs>
          <w:tab w:leader="none" w:pos="9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Simultaneously conversion of $25 million of the outstanding promissory note held by Nant Capital, an entity affiliated with Executive Chairman bolstering ImmunityBio’s balance sheet with reduction in the debt</w:t>
      </w:r>
    </w:p>
    <w:p>
      <w:pPr>
        <w:spacing w:after="0" w:line="67" w:lineRule="exact"/>
        <w:rPr>
          <w:rFonts w:ascii="Times New Roman" w:cs="Times New Roman" w:eastAsia="Times New Roman" w:hAnsi="Times New Roman"/>
          <w:sz w:val="18"/>
          <w:szCs w:val="18"/>
          <w:color w:val="auto"/>
        </w:rPr>
      </w:pPr>
    </w:p>
    <w:p>
      <w:pPr>
        <w:ind w:left="960" w:right="240" w:hanging="424"/>
        <w:spacing w:after="0" w:line="282" w:lineRule="auto"/>
        <w:tabs>
          <w:tab w:leader="none" w:pos="9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strengthen ImmunityBio’s balance sheet and support global expansion following recent approvals, while advancing company’s broader immunotherapy pipeline</w:t>
      </w:r>
    </w:p>
    <w:p>
      <w:pPr>
        <w:spacing w:after="0" w:line="15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CULVER CITY, Calif., March 31, 2026 — </w:t>
      </w:r>
      <w:r>
        <w:rPr>
          <w:rFonts w:ascii="Times New Roman" w:cs="Times New Roman" w:eastAsia="Times New Roman" w:hAnsi="Times New Roman"/>
          <w:sz w:val="18"/>
          <w:szCs w:val="18"/>
          <w:color w:val="auto"/>
        </w:rPr>
        <w:t>ImmunityBio, Inc. (NASDAQ: IBRX), a vertically integrated, commercial-stage immunotherapy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today announced it has secured $75 million in non-dilutive financing under its existing </w:t>
      </w:r>
      <w:r>
        <w:rPr>
          <w:rFonts w:ascii="Times New Roman" w:cs="Times New Roman" w:eastAsia="Times New Roman" w:hAnsi="Times New Roman"/>
          <w:sz w:val="18"/>
          <w:szCs w:val="18"/>
          <w:u w:val="single" w:color="auto"/>
          <w:color w:val="auto"/>
        </w:rPr>
        <w:t>Royalty Interest Purchase Agreement (RIPA) with Oberland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Capital</w:t>
      </w:r>
      <w:r>
        <w:rPr>
          <w:rFonts w:ascii="Times New Roman" w:cs="Times New Roman" w:eastAsia="Times New Roman" w:hAnsi="Times New Roman"/>
          <w:sz w:val="18"/>
          <w:szCs w:val="18"/>
          <w:color w:val="auto"/>
        </w:rPr>
        <w:t>, increasing the total committed capital under the Agreement to $375 million. The amended agreement maintains existing terms, with a modest increase in the royalty payback rate while maintaining the royalty cap.</w:t>
      </w:r>
    </w:p>
    <w:p>
      <w:pPr>
        <w:spacing w:after="0" w:line="180" w:lineRule="exact"/>
        <w:rPr>
          <w:sz w:val="20"/>
          <w:szCs w:val="20"/>
          <w:color w:val="auto"/>
        </w:rPr>
      </w:pPr>
    </w:p>
    <w:p>
      <w:pPr>
        <w:ind w:right="420"/>
        <w:spacing w:after="0" w:line="230" w:lineRule="auto"/>
        <w:rPr>
          <w:sz w:val="20"/>
          <w:szCs w:val="20"/>
          <w:color w:val="auto"/>
        </w:rPr>
      </w:pPr>
      <w:r>
        <w:rPr>
          <w:rFonts w:ascii="Times New Roman" w:cs="Times New Roman" w:eastAsia="Times New Roman" w:hAnsi="Times New Roman"/>
          <w:sz w:val="18"/>
          <w:szCs w:val="18"/>
          <w:color w:val="auto"/>
        </w:rPr>
        <w:t>“This additional non-dilutive financing gives us the capacity to continue scaling our commercial efforts and expanding globally following recent ANKTIVA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approvals, while positioning us to take full advantage of the growth opportunities ahead,” said Richard Adcock, President and CEO of ImmunityBio. “The strengthening of the company’s balance sheet through non-dilutive financing from Oberland, combined with the Founder’s reduction of debt, supports our global expansion following recent approvals and the advancement of our immunotherapy pipeline.”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Simultaneous with the closing of the amendment to the RIPA, Nant Capital, LLC, an entity affiliated with our Executive Chairman, converted</w:t>
      </w:r>
    </w:p>
    <w:p>
      <w:pPr>
        <w:spacing w:after="0" w:line="27"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$25 million principal amount with the issuance of 4.6 million shares of the company’s common stock to Nant Capital, LLC and the reduction of debt under the $505 million December 2024 Promissory Note.</w:t>
      </w:r>
    </w:p>
    <w:p>
      <w:pPr>
        <w:spacing w:after="0" w:line="18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non-dilutive financing from Oberland and the conversion of debt to equity by Nant Capital, reflect strong confidence in ImmunityBio’s strategy and growth potential as a leading immunotherapy company paving the way for next-generation immunotherapy treatments,” said Patrick Soon-Shiong, M.D., Founder, Executive Chairman and Global Chief Medical and Scientific Officer of ImmunityBio.</w:t>
      </w:r>
    </w:p>
    <w:p>
      <w:pPr>
        <w:sectPr>
          <w:pgSz w:w="11900" w:h="16838" w:orient="portrait"/>
          <w:cols w:equalWidth="0" w:num="1">
            <w:col w:w="11020"/>
          </w:cols>
          <w:pgMar w:left="440" w:top="117" w:right="4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Global Regulatory Approvals</w:t>
      </w:r>
    </w:p>
    <w:p>
      <w:pPr>
        <w:spacing w:after="0" w:line="121" w:lineRule="exact"/>
        <w:rPr>
          <w:sz w:val="20"/>
          <w:szCs w:val="20"/>
          <w:color w:val="auto"/>
        </w:rPr>
      </w:pPr>
    </w:p>
    <w:p>
      <w:pPr>
        <w:ind w:right="200"/>
        <w:spacing w:after="0" w:line="213" w:lineRule="auto"/>
        <w:rPr>
          <w:sz w:val="20"/>
          <w:szCs w:val="20"/>
          <w:color w:val="auto"/>
        </w:rPr>
      </w:pPr>
      <w:r>
        <w:rPr>
          <w:rFonts w:ascii="Times New Roman" w:cs="Times New Roman" w:eastAsia="Times New Roman" w:hAnsi="Times New Roman"/>
          <w:sz w:val="18"/>
          <w:szCs w:val="18"/>
          <w:color w:val="auto"/>
        </w:rPr>
        <w:t>ANKTIVA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combination with BCG for the treatment of BCG-unresponsive non-muscle invasive bladder cancer (NMIBC) carcinoma in situ (CIS), with or without papillary tumors, is now approved or authorized across five regulatory jurisdictions, representing approximately 34 countries:</w:t>
      </w:r>
    </w:p>
    <w:p>
      <w:pPr>
        <w:spacing w:after="0" w:line="100" w:lineRule="exact"/>
        <w:rPr>
          <w:sz w:val="20"/>
          <w:szCs w:val="20"/>
          <w:color w:val="auto"/>
        </w:rPr>
      </w:pPr>
    </w:p>
    <w:p>
      <w:pPr>
        <w:ind w:left="960" w:hanging="424"/>
        <w:spacing w:after="0"/>
        <w:tabs>
          <w:tab w:leader="none" w:pos="9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United States: </w:t>
      </w:r>
      <w:r>
        <w:rPr>
          <w:rFonts w:ascii="Times New Roman" w:cs="Times New Roman" w:eastAsia="Times New Roman" w:hAnsi="Times New Roman"/>
          <w:sz w:val="18"/>
          <w:szCs w:val="18"/>
          <w:color w:val="auto"/>
        </w:rPr>
        <w:t>U.S. Food and Drug Administration (FDA) approval (April 2024)</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United Kingdom: </w:t>
      </w:r>
      <w:r>
        <w:rPr>
          <w:rFonts w:ascii="Times New Roman" w:cs="Times New Roman" w:eastAsia="Times New Roman" w:hAnsi="Times New Roman"/>
          <w:sz w:val="18"/>
          <w:szCs w:val="18"/>
          <w:color w:val="auto"/>
        </w:rPr>
        <w:t>Medicines and Healthcare products Regulatory Agency (MHRA) authorization (July 2025)</w:t>
      </w:r>
    </w:p>
    <w:p>
      <w:pPr>
        <w:spacing w:after="0" w:line="130" w:lineRule="exact"/>
        <w:rPr>
          <w:rFonts w:ascii="Times New Roman" w:cs="Times New Roman" w:eastAsia="Times New Roman" w:hAnsi="Times New Roman"/>
          <w:sz w:val="18"/>
          <w:szCs w:val="18"/>
          <w:color w:val="auto"/>
        </w:rPr>
      </w:pPr>
    </w:p>
    <w:p>
      <w:pPr>
        <w:ind w:left="960" w:right="220" w:hanging="424"/>
        <w:spacing w:after="0" w:line="268" w:lineRule="auto"/>
        <w:tabs>
          <w:tab w:leader="none" w:pos="9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Kingdom of Saudi Arabia: </w:t>
      </w:r>
      <w:r>
        <w:rPr>
          <w:rFonts w:ascii="Times New Roman" w:cs="Times New Roman" w:eastAsia="Times New Roman" w:hAnsi="Times New Roman"/>
          <w:sz w:val="18"/>
          <w:szCs w:val="18"/>
          <w:color w:val="auto"/>
        </w:rPr>
        <w:t>Saudi Food and Drug Authority (SFDA) accelerated approval for BCG-unresponsive NMIBC CIS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(January 2026) and conditional accelerated approval for metastatic non-small cell lung cancer (NSCLC) in combination with checkpoint inhibitors (January 2026), the first jurisdiction globally to authorize ANKTIVA for lung cancer</w:t>
      </w:r>
    </w:p>
    <w:p>
      <w:pPr>
        <w:spacing w:after="0" w:line="76" w:lineRule="exact"/>
        <w:rPr>
          <w:rFonts w:ascii="Times New Roman" w:cs="Times New Roman" w:eastAsia="Times New Roman" w:hAnsi="Times New Roman"/>
          <w:sz w:val="18"/>
          <w:szCs w:val="18"/>
          <w:color w:val="auto"/>
        </w:rPr>
      </w:pPr>
    </w:p>
    <w:p>
      <w:pPr>
        <w:ind w:left="960" w:right="300" w:hanging="424"/>
        <w:spacing w:after="0" w:line="286" w:lineRule="auto"/>
        <w:tabs>
          <w:tab w:leader="none" w:pos="9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European Union: </w:t>
      </w:r>
      <w:r>
        <w:rPr>
          <w:rFonts w:ascii="Times New Roman" w:cs="Times New Roman" w:eastAsia="Times New Roman" w:hAnsi="Times New Roman"/>
          <w:sz w:val="18"/>
          <w:szCs w:val="18"/>
          <w:color w:val="auto"/>
        </w:rPr>
        <w:t>European Commission conditional marketing authorization covering all 27 EU member states plus Iceland, Norway,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Liechtenstein (February 2026)</w:t>
      </w:r>
    </w:p>
    <w:p>
      <w:pPr>
        <w:spacing w:after="0" w:line="6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Macau Special Administrative Region (SAR): </w:t>
      </w:r>
      <w:r>
        <w:rPr>
          <w:rFonts w:ascii="Times New Roman" w:cs="Times New Roman" w:eastAsia="Times New Roman" w:hAnsi="Times New Roman"/>
          <w:sz w:val="18"/>
          <w:szCs w:val="18"/>
          <w:color w:val="auto"/>
        </w:rPr>
        <w:t>Pharmaceutical Administration Bureau authorization (March 2026)</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This global regulatory footprint of 34 countries was established in under two years from initial U.S. FDA approval in 2024, reflecting rapid international expansion.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ANKTIVA</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(nogapendekin alfa inbakicept-pmln)</w:t>
      </w:r>
    </w:p>
    <w:p>
      <w:pPr>
        <w:spacing w:after="0" w:line="49"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8"/>
          <w:szCs w:val="18"/>
          <w:color w:val="auto"/>
        </w:rPr>
        <w:t>The cytokine interleukin-15 (IL-15) plays a crucial role in the immune system by affecting the development, maintenance, and function of key immune cells—NK and CD8+ killer T cells—that are involved in killing cancer cells. By activating NK cells, ANKTIVA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overcomes the tumor escape phase of clones resistant to T cells and restores memory T cell activity with resultant prolonged duration of complete response. ANKTIVA is a first-in-class IL-15 receptor superagonist IgG1 fusion complex, consisting of an IL-15 mutant (IL-15N72D) fused with an IL-15 receptor alpha, which binds with high affinity to IL-15 receptors on NK, CD4+, and CD8+ T cells. This fusion complex of ANKTIVA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mimics the natural biological properties of the dendritic cell membrane-bound IL-15 receptor alpha driving the activation and proliferation of NK cells with the generation of memory killer T cells that have retained immune memory against these tumor clones.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ImmunityBio</w:t>
      </w:r>
    </w:p>
    <w:p>
      <w:pPr>
        <w:spacing w:after="0" w:line="121"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18"/>
          <w:szCs w:val="18"/>
          <w:color w:val="auto"/>
        </w:rPr>
        <w:t>ImmunityBio, Inc. is a biotechnology company focused on innovating, developing, and commercializing next-generation immunotherapies designed to activate the patient’s immune system and deliver durable protection against cancer and infectious diseases. Our approach harnesses both the adaptive and innate immune systems with the goal of restoring immune function and generating lasting immunological memory in patients. At the core of our strategy is the Cancer BioShield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which is designed to stimulate critical lymphocytes, including natural killer (NK) cells, cytotoxic T cells, and memory T cells via our proprietary IL-15 receptor superagonist, ANKTIVA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(nogapendekin alfa inbakicept). Our Cancer BioShield platform is anchored by this antibody-cytokine fusion protein and is complemented by a portfolio that includes adenovirus-vectored vaccines, allogeneic (off-the-shelf) and autologous NK-cell therapies, and additional immunomodulators intended to promote immunogenic cell death and support durable immune responses while potentially reducing reliance on high-dose chemo-radiation therapy. For more information, visit ImmunityBio.com and connect with us on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(Twitter),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Instagram</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66" w:right="4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including statements regarding the clinical development, therapeutic potential, safety, efficacy, and regulatory pathway of ANKTIVA; the anticipated clinical benefits of ANKTIVA plus BCG in patients with BCG-naïve non-muscle invasive bladder cancer (NMIBC) carcinoma in situ (CIS); the potential for ANKTIVA plus BCG to improve durability of complete response compared to BCG alone; the anticipated impact of the funding under the RIPA to support continued scaling of ImmunityBio’s commercial efforts and global expansion following recent approvals, while advancing the Company’s broader immunotherapy pipeline; and payments to be made under the RIPA, as amended.</w:t>
      </w:r>
    </w:p>
    <w:p>
      <w:pPr>
        <w:spacing w:after="0" w:line="187"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based on current expectations, estimates, forecasts, and projections, as well as the beliefs and assumptions of management, and are subject to significant risks and uncertainties. Actual results may differ materially from those expressed or implied by such forward-looking statements due to a variety of factors, including, but not limited to: risks related to clinical trial design, enrollment, timing, interim analyses, and final data outcomes; the possibility that interim results may not be predictive of final trial results; regulatory risks, including the timing and outcome of interactions with the FDA and other regulatory authorities, and the risk that a BLA may not be submitted when anticipated or, if submitted, may not be approved or may require additional data or studies; risks related to safety signals or adverse events that may arise during continued evaluation; the Company’s ability to manufacture sufficient quantities of ANKTIVA and recombinant BCG to support clinical development and potential commercialization; risks associated with product supply, including ongoing BCG shortages; competitive developments; changes in standard-of-care treatment; market acceptance; reimbursement; and intellectual property protection.</w:t>
      </w:r>
    </w:p>
    <w:p>
      <w:pPr>
        <w:spacing w:after="0" w:line="18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More details about these and other risks that may impact ImmunityBio’s business are described under the heading “Risk Factors” in the Company’s Form 10-K filed with the U.S. Securities and Exchange Commission (SEC) on February 23, 2026 and in subsequent filings made by ImmunityBio with the SEC, which are available on the SEC’s website at www.sec.gov. ImmunityBio cautions you not to place undue reliance on any forward-looking statements, which speak only as of the date hereof. ImmunityBio does not undertake any duty to update any forward-looking statement or other information in this press release, except to the extent required by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ImmunityBio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Hemanth Ramaprakash, PhD, MBA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ImmunityBio,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+1 858-746-9289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Hemanth.Ramaprakash@ImmunityBio.com</w:t>
      </w:r>
    </w:p>
    <w:p>
      <w:pPr>
        <w:sectPr>
          <w:pgSz w:w="11900" w:h="16838" w:orient="portrait"/>
          <w:cols w:equalWidth="0" w:num="1">
            <w:col w:w="10980"/>
          </w:cols>
          <w:pgMar w:left="440" w:top="266" w:right="4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Sarah Singleton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ImmunityBio,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+1 415-290-8045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Sarah.Singleton@ImmunityBio.com</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27709E"/>
    <w:multiLevelType w:val="hybridMultilevel"/>
    <w:lvl w:ilvl="0">
      <w:lvlJc w:val="left"/>
      <w:lvlText w:val="☐"/>
      <w:numFmt w:val="bullet"/>
      <w:start w:val="1"/>
    </w:lvl>
  </w:abstractNum>
  <w:abstractNum w:abstractNumId="1">
    <w:nsid w:val="71EA1109"/>
    <w:multiLevelType w:val="hybridMultilevel"/>
    <w:lvl w:ilvl="0">
      <w:lvlJc w:val="left"/>
      <w:lvlText w:val="(%1)"/>
      <w:numFmt w:val="lowerLetter"/>
      <w:start w:val="4"/>
    </w:lvl>
  </w:abstractNum>
  <w:abstractNum w:abstractNumId="2">
    <w:nsid w:val="100F59DC"/>
    <w:multiLevelType w:val="hybridMultilevel"/>
    <w:lvl w:ilvl="0">
      <w:lvlJc w:val="left"/>
      <w:lvlText w:val="*"/>
      <w:numFmt w:val="bullet"/>
      <w:start w:val="1"/>
    </w:lvl>
  </w:abstractNum>
  <w:abstractNum w:abstractNumId="3">
    <w:nsid w:val="7FB7E0AA"/>
    <w:multiLevelType w:val="hybridMultilevel"/>
    <w:lvl w:ilvl="0">
      <w:lvlJc w:val="left"/>
      <w:lvlText w:val="**"/>
      <w:numFmt w:val="bullet"/>
      <w:start w:val="1"/>
    </w:lvl>
  </w:abstractNum>
  <w:abstractNum w:abstractNumId="4">
    <w:nsid w:val="6EB5BD4"/>
    <w:multiLevelType w:val="hybridMultilevel"/>
    <w:lvl w:ilvl="0">
      <w:lvlJc w:val="left"/>
      <w:lvlText w:val="%1."/>
      <w:numFmt w:val="decimal"/>
      <w:start w:val="1"/>
    </w:lvl>
  </w:abstractNum>
  <w:abstractNum w:abstractNumId="5">
    <w:nsid w:val="6F6DD9AC"/>
    <w:multiLevelType w:val="hybridMultilevel"/>
    <w:lvl w:ilvl="0">
      <w:lvlJc w:val="left"/>
      <w:lvlText w:val="%1."/>
      <w:numFmt w:val="decimal"/>
      <w:start w:val="3"/>
    </w:lvl>
  </w:abstractNum>
  <w:abstractNum w:abstractNumId="6">
    <w:nsid w:val="94211F2"/>
    <w:multiLevelType w:val="hybridMultilevel"/>
    <w:lvl w:ilvl="0">
      <w:lvlJc w:val="left"/>
      <w:lvlText w:val="%1."/>
      <w:numFmt w:val="decimal"/>
      <w:start w:val="5"/>
    </w:lvl>
    <w:lvl w:ilvl="1">
      <w:lvlJc w:val="left"/>
      <w:lvlText w:val="(%2)"/>
      <w:numFmt w:val="lowerLetter"/>
      <w:start w:val="1"/>
    </w:lvl>
  </w:abstractNum>
  <w:abstractNum w:abstractNumId="7">
    <w:nsid w:val="885E1B"/>
    <w:multiLevelType w:val="hybridMultilevel"/>
    <w:lvl w:ilvl="0">
      <w:lvlJc w:val="left"/>
      <w:lvlText w:val="(%1)"/>
      <w:numFmt w:val="lowerLetter"/>
      <w:start w:val="1"/>
    </w:lvl>
  </w:abstractNum>
  <w:abstractNum w:abstractNumId="8">
    <w:nsid w:val="76272110"/>
    <w:multiLevelType w:val="hybridMultilevel"/>
    <w:lvl w:ilvl="0">
      <w:lvlJc w:val="left"/>
      <w:lvlText w:val="(%1)"/>
      <w:numFmt w:val="lowerLetter"/>
      <w:start w:val="2"/>
    </w:lvl>
  </w:abstractNum>
  <w:abstractNum w:abstractNumId="9">
    <w:nsid w:val="4C04A8AF"/>
    <w:multiLevelType w:val="hybridMultilevel"/>
    <w:lvl w:ilvl="0">
      <w:lvlJc w:val="left"/>
      <w:lvlText w:val="(%1)"/>
      <w:numFmt w:val="lowerLetter"/>
      <w:start w:val="3"/>
    </w:lvl>
  </w:abstractNum>
  <w:abstractNum w:abstractNumId="10">
    <w:nsid w:val="1716703B"/>
    <w:multiLevelType w:val="hybridMultilevel"/>
    <w:lvl w:ilvl="0">
      <w:lvlJc w:val="left"/>
      <w:lvlText w:val="%1"/>
      <w:numFmt w:val="decimal"/>
      <w:start w:val="1"/>
    </w:lvl>
    <w:lvl w:ilvl="1">
      <w:lvlJc w:val="left"/>
      <w:lvlText w:val="(%2)"/>
      <w:numFmt w:val="lowerLetter"/>
      <w:start w:val="1"/>
    </w:lvl>
  </w:abstractNum>
  <w:abstractNum w:abstractNumId="11">
    <w:nsid w:val="14E17E33"/>
    <w:multiLevelType w:val="hybridMultilevel"/>
    <w:lvl w:ilvl="0">
      <w:lvlJc w:val="left"/>
      <w:lvlText w:val="(%1)"/>
      <w:numFmt w:val="decimal"/>
      <w:start w:val="30"/>
    </w:lvl>
    <w:lvl w:ilvl="1">
      <w:lvlJc w:val="left"/>
      <w:lvlText w:val="(%2)"/>
      <w:numFmt w:val="lowerLetter"/>
      <w:start w:val="6"/>
    </w:lvl>
  </w:abstractNum>
  <w:abstractNum w:abstractNumId="12">
    <w:nsid w:val="3222E7CD"/>
    <w:multiLevelType w:val="hybridMultilevel"/>
    <w:lvl w:ilvl="0">
      <w:lvlJc w:val="left"/>
      <w:lvlText w:val="(%1)"/>
      <w:numFmt w:val="lowerRoman"/>
      <w:start w:val="2"/>
    </w:lvl>
  </w:abstractNum>
  <w:abstractNum w:abstractNumId="13">
    <w:nsid w:val="74DE0EE3"/>
    <w:multiLevelType w:val="hybridMultilevel"/>
    <w:lvl w:ilvl="0">
      <w:lvlJc w:val="left"/>
      <w:lvlText w:val="%1"/>
      <w:numFmt w:val="upperLetter"/>
      <w:start w:val="1"/>
    </w:lvl>
    <w:lvl w:ilvl="1">
      <w:lvlJc w:val="left"/>
      <w:lvlText w:val="(%2)"/>
      <w:numFmt w:val="lowerLetter"/>
      <w:start w:val="1"/>
    </w:lvl>
  </w:abstractNum>
  <w:abstractNum w:abstractNumId="14">
    <w:nsid w:val="68EBC550"/>
    <w:multiLevelType w:val="hybridMultilevel"/>
    <w:lvl w:ilvl="0">
      <w:lvlJc w:val="left"/>
      <w:lvlText w:val="(%1)"/>
      <w:numFmt w:val="upperLetter"/>
      <w:start w:val="3"/>
    </w:lvl>
    <w:lvl w:ilvl="1">
      <w:lvlJc w:val="left"/>
      <w:lvlText w:val="(%2)"/>
      <w:numFmt w:val="lowerLetter"/>
      <w:start w:val="5"/>
    </w:lvl>
  </w:abstractNum>
  <w:abstractNum w:abstractNumId="15">
    <w:nsid w:val="2DF6D648"/>
    <w:multiLevelType w:val="hybridMultilevel"/>
    <w:lvl w:ilvl="0">
      <w:lvlJc w:val="left"/>
      <w:lvlText w:val="(%1)"/>
      <w:numFmt w:val="lowerLetter"/>
      <w:start w:val="1"/>
    </w:lvl>
  </w:abstractNum>
  <w:abstractNum w:abstractNumId="16">
    <w:nsid w:val="46B7D447"/>
    <w:multiLevelType w:val="hybridMultilevel"/>
    <w:lvl w:ilvl="0">
      <w:lvlJc w:val="left"/>
      <w:lvlText w:val="(%1)"/>
      <w:numFmt w:val="lowerLetter"/>
      <w:start w:val="15"/>
    </w:lvl>
  </w:abstractNum>
  <w:abstractNum w:abstractNumId="17">
    <w:nsid w:val="4A2AC315"/>
    <w:multiLevelType w:val="hybridMultilevel"/>
    <w:lvl w:ilvl="0">
      <w:lvlJc w:val="left"/>
      <w:lvlText w:val="(%1)"/>
      <w:numFmt w:val="lowerLetter"/>
      <w:start w:val="3"/>
    </w:lvl>
  </w:abstractNum>
  <w:abstractNum w:abstractNumId="18">
    <w:nsid w:val="39EE015C"/>
    <w:multiLevelType w:val="hybridMultilevel"/>
    <w:lvl w:ilvl="0">
      <w:lvlJc w:val="left"/>
      <w:lvlText w:val="(%1)"/>
      <w:numFmt w:val="lowerLetter"/>
      <w:start w:val="2"/>
    </w:lvl>
  </w:abstractNum>
  <w:abstractNum w:abstractNumId="19">
    <w:nsid w:val="57FC4FBB"/>
    <w:multiLevelType w:val="hybridMultilevel"/>
    <w:lvl w:ilvl="0">
      <w:lvlJc w:val="left"/>
      <w:lvlText w:val="(%1)"/>
      <w:numFmt w:val="lowerLetter"/>
      <w:start w:val="35"/>
    </w:lvl>
  </w:abstractNum>
  <w:abstractNum w:abstractNumId="20">
    <w:nsid w:val="CC1016F"/>
    <w:multiLevelType w:val="hybridMultilevel"/>
    <w:lvl w:ilvl="0">
      <w:lvlJc w:val="left"/>
      <w:lvlText w:val="(%1)"/>
      <w:numFmt w:val="lowerLetter"/>
      <w:start w:val="2"/>
    </w:lvl>
  </w:abstractNum>
  <w:abstractNum w:abstractNumId="21">
    <w:nsid w:val="43F18422"/>
    <w:multiLevelType w:val="hybridMultilevel"/>
    <w:lvl w:ilvl="0">
      <w:lvlJc w:val="left"/>
      <w:lvlText w:val="(%1)"/>
      <w:numFmt w:val="lowerLetter"/>
      <w:start w:val="22"/>
    </w:lvl>
  </w:abstractNum>
  <w:abstractNum w:abstractNumId="22">
    <w:nsid w:val="60EF0119"/>
    <w:multiLevelType w:val="hybridMultilevel"/>
    <w:lvl w:ilvl="0">
      <w:lvlJc w:val="left"/>
      <w:lvlText w:val="(%1)"/>
      <w:numFmt w:val="lowerLetter"/>
      <w:start w:val="1"/>
    </w:lvl>
  </w:abstractNum>
  <w:abstractNum w:abstractNumId="23">
    <w:nsid w:val="26F324BA"/>
    <w:multiLevelType w:val="hybridMultilevel"/>
    <w:lvl w:ilvl="0">
      <w:lvlJc w:val="left"/>
      <w:lvlText w:val="(%1)"/>
      <w:numFmt w:val="lowerLetter"/>
      <w:start w:val="5"/>
    </w:lvl>
  </w:abstractNum>
  <w:abstractNum w:abstractNumId="24">
    <w:nsid w:val="7F01579B"/>
    <w:multiLevelType w:val="hybridMultilevel"/>
    <w:lvl w:ilvl="0">
      <w:lvlJc w:val="left"/>
      <w:lvlText w:val="(%1)"/>
      <w:numFmt w:val="lowerRoman"/>
      <w:start w:val="1"/>
    </w:lvl>
  </w:abstractNum>
  <w:abstractNum w:abstractNumId="25">
    <w:nsid w:val="49DA307D"/>
    <w:multiLevelType w:val="hybridMultilevel"/>
    <w:lvl w:ilvl="0">
      <w:lvlJc w:val="left"/>
      <w:lvlText w:val="(%1)"/>
      <w:numFmt w:val="lowerLetter"/>
      <w:start w:val="1"/>
    </w:lvl>
  </w:abstractNum>
  <w:abstractNum w:abstractNumId="26">
    <w:nsid w:val="7055A5F5"/>
    <w:multiLevelType w:val="hybridMultilevel"/>
    <w:lvl w:ilvl="0">
      <w:lvlJc w:val="left"/>
      <w:lvlText w:val="(%1)"/>
      <w:numFmt w:val="lowerLetter"/>
      <w:start w:val="5"/>
    </w:lvl>
  </w:abstractNum>
  <w:abstractNum w:abstractNumId="27">
    <w:nsid w:val="5FB8370B"/>
    <w:multiLevelType w:val="hybridMultilevel"/>
    <w:lvl w:ilvl="0">
      <w:lvlJc w:val="left"/>
      <w:lvlText w:val="(%1)"/>
      <w:numFmt w:val="lowerLetter"/>
      <w:start w:val="7"/>
    </w:lvl>
  </w:abstractNum>
  <w:abstractNum w:abstractNumId="28">
    <w:nsid w:val="50801EE1"/>
    <w:multiLevelType w:val="hybridMultilevel"/>
    <w:lvl w:ilvl="0">
      <w:lvlJc w:val="left"/>
      <w:lvlText w:val="(%1)"/>
      <w:numFmt w:val="lowerLetter"/>
      <w:start w:val="25"/>
    </w:lvl>
  </w:abstractNum>
  <w:abstractNum w:abstractNumId="29">
    <w:nsid w:val="488AC1A"/>
    <w:multiLevelType w:val="hybridMultilevel"/>
    <w:lvl w:ilvl="0">
      <w:lvlJc w:val="left"/>
      <w:lvlText w:val="(%1)"/>
      <w:numFmt w:val="lowerLetter"/>
      <w:start w:val="1"/>
    </w:lvl>
  </w:abstractNum>
  <w:abstractNum w:abstractNumId="30">
    <w:nsid w:val="5FB8011C"/>
    <w:multiLevelType w:val="hybridMultilevel"/>
    <w:lvl w:ilvl="0">
      <w:lvlJc w:val="left"/>
      <w:lvlText w:val="(%1)"/>
      <w:numFmt w:val="lowerLetter"/>
      <w:start w:val="4"/>
    </w:lvl>
  </w:abstractNum>
  <w:abstractNum w:abstractNumId="31">
    <w:nsid w:val="6AA78F7F"/>
    <w:multiLevelType w:val="hybridMultilevel"/>
    <w:lvl w:ilvl="0">
      <w:lvlJc w:val="left"/>
      <w:lvlText w:val="(%1)"/>
      <w:numFmt w:val="lowerLetter"/>
      <w:start w:val="1"/>
    </w:lvl>
  </w:abstractNum>
  <w:abstractNum w:abstractNumId="32">
    <w:nsid w:val="7672BD23"/>
    <w:multiLevelType w:val="hybridMultilevel"/>
    <w:lvl w:ilvl="0">
      <w:lvlJc w:val="left"/>
      <w:lvlText w:val="%1"/>
      <w:numFmt w:val="lowerLetter"/>
      <w:start w:val="1"/>
    </w:lvl>
    <w:lvl w:ilvl="1">
      <w:lvlJc w:val="left"/>
      <w:lvlText w:val="(%2)"/>
      <w:numFmt w:val="lowerLetter"/>
      <w:start w:val="5"/>
    </w:lvl>
  </w:abstractNum>
  <w:abstractNum w:abstractNumId="33">
    <w:nsid w:val="6FC75AF8"/>
    <w:multiLevelType w:val="hybridMultilevel"/>
    <w:lvl w:ilvl="0">
      <w:lvlJc w:val="left"/>
      <w:lvlText w:val="(%1)"/>
      <w:numFmt w:val="lowerLetter"/>
      <w:start w:val="25"/>
    </w:lvl>
    <w:lvl w:ilvl="1">
      <w:lvlJc w:val="left"/>
      <w:lvlText w:val="(%2)"/>
      <w:numFmt w:val="lowerLetter"/>
      <w:start w:val="12"/>
    </w:lvl>
  </w:abstractNum>
  <w:abstractNum w:abstractNumId="34">
    <w:nsid w:val="6A5F7029"/>
    <w:multiLevelType w:val="hybridMultilevel"/>
    <w:lvl w:ilvl="0">
      <w:lvlJc w:val="left"/>
      <w:lvlText w:val="(%1)"/>
      <w:numFmt w:val="lowerLetter"/>
      <w:start w:val="35"/>
    </w:lvl>
    <w:lvl w:ilvl="1">
      <w:lvlJc w:val="left"/>
      <w:lvlText w:val="(%2)"/>
      <w:numFmt w:val="lowerLetter"/>
      <w:start w:val="13"/>
    </w:lvl>
  </w:abstractNum>
  <w:abstractNum w:abstractNumId="35">
    <w:nsid w:val="7D5E18F8"/>
    <w:multiLevelType w:val="hybridMultilevel"/>
    <w:lvl w:ilvl="0">
      <w:lvlJc w:val="left"/>
      <w:lvlText w:val="(%1)"/>
      <w:numFmt w:val="lowerLetter"/>
      <w:start w:val="15"/>
    </w:lvl>
  </w:abstractNum>
  <w:abstractNum w:abstractNumId="36">
    <w:nsid w:val="5F3534A4"/>
    <w:multiLevelType w:val="hybridMultilevel"/>
    <w:lvl w:ilvl="0">
      <w:lvlJc w:val="left"/>
      <w:lvlText w:val="%1"/>
      <w:numFmt w:val="lowerLetter"/>
      <w:start w:val="1"/>
    </w:lvl>
    <w:lvl w:ilvl="1">
      <w:lvlJc w:val="left"/>
      <w:lvlText w:val="(%2)"/>
      <w:numFmt w:val="lowerLetter"/>
      <w:start w:val="1"/>
    </w:lvl>
  </w:abstractNum>
  <w:abstractNum w:abstractNumId="37">
    <w:nsid w:val="73A1821B"/>
    <w:multiLevelType w:val="hybridMultilevel"/>
    <w:lvl w:ilvl="0">
      <w:lvlJc w:val="left"/>
      <w:lvlText w:val="(%1)"/>
      <w:numFmt w:val="lowerLetter"/>
      <w:start w:val="24"/>
    </w:lvl>
    <w:lvl w:ilvl="1">
      <w:lvlJc w:val="left"/>
      <w:lvlText w:val="(%2)"/>
      <w:numFmt w:val="lowerLetter"/>
      <w:start w:val="4"/>
    </w:lvl>
  </w:abstractNum>
  <w:abstractNum w:abstractNumId="38">
    <w:nsid w:val="7DE67713"/>
    <w:multiLevelType w:val="hybridMultilevel"/>
    <w:lvl w:ilvl="0">
      <w:lvlJc w:val="left"/>
      <w:lvlText w:val="(%1)"/>
      <w:numFmt w:val="lowerLetter"/>
      <w:start w:val="5"/>
    </w:lvl>
  </w:abstractNum>
  <w:abstractNum w:abstractNumId="39">
    <w:nsid w:val="555C55B5"/>
    <w:multiLevelType w:val="hybridMultilevel"/>
    <w:lvl w:ilvl="0">
      <w:lvlJc w:val="left"/>
      <w:lvlText w:val="(%1)"/>
      <w:numFmt w:val="lowerLetter"/>
      <w:start w:val="1"/>
    </w:lvl>
  </w:abstractNum>
  <w:abstractNum w:abstractNumId="40">
    <w:nsid w:val="3FA62ACA"/>
    <w:multiLevelType w:val="hybridMultilevel"/>
    <w:lvl w:ilvl="0">
      <w:lvlJc w:val="left"/>
      <w:lvlText w:val="%1"/>
      <w:numFmt w:val="lowerLetter"/>
      <w:start w:val="1"/>
    </w:lvl>
    <w:lvl w:ilvl="1">
      <w:lvlJc w:val="left"/>
      <w:lvlText w:val="(%2)"/>
      <w:numFmt w:val="lowerLetter"/>
      <w:start w:val="7"/>
    </w:lvl>
  </w:abstractNum>
  <w:abstractNum w:abstractNumId="41">
    <w:nsid w:val="14FCE74E"/>
    <w:multiLevelType w:val="hybridMultilevel"/>
    <w:lvl w:ilvl="0">
      <w:lvlJc w:val="left"/>
      <w:lvlText w:val="(%1)"/>
      <w:numFmt w:val="lowerLetter"/>
      <w:start w:val="35"/>
    </w:lvl>
    <w:lvl w:ilvl="1">
      <w:lvlJc w:val="left"/>
      <w:lvlText w:val="%2"/>
      <w:numFmt w:val="lowerLetter"/>
      <w:start w:val="1"/>
    </w:lvl>
  </w:abstractNum>
  <w:abstractNum w:abstractNumId="42">
    <w:nsid w:val="6A3DD3E8"/>
    <w:multiLevelType w:val="hybridMultilevel"/>
    <w:lvl w:ilvl="0">
      <w:lvlJc w:val="left"/>
      <w:lvlText w:val="(%1)"/>
      <w:numFmt w:val="lowerLetter"/>
      <w:start w:val="15"/>
    </w:lvl>
  </w:abstractNum>
  <w:abstractNum w:abstractNumId="43">
    <w:nsid w:val="71C91298"/>
    <w:multiLevelType w:val="hybridMultilevel"/>
    <w:lvl w:ilvl="0">
      <w:lvlJc w:val="left"/>
      <w:lvlText w:val="(%1)"/>
      <w:numFmt w:val="lowerLetter"/>
      <w:start w:val="24"/>
    </w:lvl>
  </w:abstractNum>
  <w:abstractNum w:abstractNumId="44">
    <w:nsid w:val="9DAF632"/>
    <w:multiLevelType w:val="hybridMultilevel"/>
    <w:lvl w:ilvl="0">
      <w:lvlJc w:val="left"/>
      <w:lvlText w:val="(%1)"/>
      <w:numFmt w:val="lowerLetter"/>
      <w:start w:val="1"/>
    </w:lvl>
  </w:abstractNum>
  <w:abstractNum w:abstractNumId="45">
    <w:nsid w:val="53299938"/>
    <w:multiLevelType w:val="hybridMultilevel"/>
    <w:lvl w:ilvl="0">
      <w:lvlJc w:val="left"/>
      <w:lvlText w:val="(%1)"/>
      <w:numFmt w:val="lowerLetter"/>
      <w:start w:val="1"/>
    </w:lvl>
  </w:abstractNum>
  <w:abstractNum w:abstractNumId="46">
    <w:nsid w:val="1FBFE8E0"/>
    <w:multiLevelType w:val="hybridMultilevel"/>
    <w:lvl w:ilvl="0">
      <w:lvlJc w:val="left"/>
      <w:lvlText w:val="(%1)"/>
      <w:numFmt w:val="upperLetter"/>
      <w:start w:val="2"/>
    </w:lvl>
  </w:abstractNum>
  <w:abstractNum w:abstractNumId="47">
    <w:nsid w:val="5092CA79"/>
    <w:multiLevelType w:val="hybridMultilevel"/>
    <w:lvl w:ilvl="0">
      <w:lvlJc w:val="left"/>
      <w:lvlText w:val="(%1)"/>
      <w:numFmt w:val="lowerLetter"/>
      <w:start w:val="1"/>
    </w:lvl>
    <w:lvl w:ilvl="1">
      <w:lvlJc w:val="left"/>
      <w:lvlText w:val="(%2)"/>
      <w:numFmt w:val="lowerLetter"/>
      <w:start w:val="9"/>
    </w:lvl>
  </w:abstractNum>
  <w:abstractNum w:abstractNumId="48">
    <w:nsid w:val="1D545C4D"/>
    <w:multiLevelType w:val="hybridMultilevel"/>
    <w:lvl w:ilvl="0">
      <w:lvlJc w:val="left"/>
      <w:lvlText w:val="%1"/>
      <w:numFmt w:val="lowerLetter"/>
      <w:start w:val="1"/>
    </w:lvl>
    <w:lvl w:ilvl="1">
      <w:lvlJc w:val="left"/>
      <w:lvlText w:val="(%2)"/>
      <w:numFmt w:val="lowerLetter"/>
      <w:start w:val="35"/>
    </w:lvl>
  </w:abstractNum>
  <w:abstractNum w:abstractNumId="49">
    <w:nsid w:val="59ADEA3D"/>
    <w:multiLevelType w:val="hybridMultilevel"/>
    <w:lvl w:ilvl="0">
      <w:lvlJc w:val="left"/>
      <w:lvlText w:val="(%1)"/>
      <w:numFmt w:val="lowerLetter"/>
      <w:start w:val="2"/>
    </w:lvl>
    <w:lvl w:ilvl="1">
      <w:lvlJc w:val="left"/>
      <w:lvlText w:val="%2"/>
      <w:numFmt w:val="lowerLetter"/>
      <w:start w:val="1"/>
    </w:lvl>
  </w:abstractNum>
  <w:abstractNum w:abstractNumId="50">
    <w:nsid w:val="288F1A34"/>
    <w:multiLevelType w:val="hybridMultilevel"/>
    <w:lvl w:ilvl="0">
      <w:lvlJc w:val="left"/>
      <w:lvlText w:val="%1"/>
      <w:numFmt w:val="decimal"/>
      <w:start w:val="1"/>
    </w:lvl>
    <w:lvl w:ilvl="1">
      <w:lvlJc w:val="left"/>
      <w:lvlText w:val="(%2)"/>
      <w:numFmt w:val="lowerLetter"/>
      <w:start w:val="3"/>
    </w:lvl>
  </w:abstractNum>
  <w:abstractNum w:abstractNumId="51">
    <w:nsid w:val="2A155DBC"/>
    <w:multiLevelType w:val="hybridMultilevel"/>
    <w:lvl w:ilvl="0">
      <w:lvlJc w:val="left"/>
      <w:lvlText w:val="(%1)"/>
      <w:numFmt w:val="decimal"/>
      <w:start w:val="5"/>
    </w:lvl>
    <w:lvl w:ilvl="1">
      <w:lvlJc w:val="left"/>
      <w:lvlText w:val="(%2)"/>
      <w:numFmt w:val="lowerLetter"/>
      <w:start w:val="6"/>
    </w:lvl>
  </w:abstractNum>
  <w:abstractNum w:abstractNumId="52">
    <w:nsid w:val="1D9F6E5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3">
    <w:nsid w:val="97E1B4E"/>
    <w:multiLevelType w:val="hybridMultilevel"/>
    <w:lvl w:ilvl="0">
      <w:lvlJc w:val="left"/>
      <w:lvlText w:val="%1"/>
      <w:numFmt w:val="lowerRoman"/>
      <w:start w:val="1"/>
    </w:lvl>
    <w:lvl w:ilvl="1">
      <w:lvlJc w:val="left"/>
      <w:lvlText w:val="(%2)"/>
      <w:numFmt w:val="upperLetter"/>
      <w:start w:val="7"/>
    </w:lvl>
  </w:abstractNum>
  <w:abstractNum w:abstractNumId="54">
    <w:nsid w:val="51088277"/>
    <w:multiLevelType w:val="hybridMultilevel"/>
    <w:lvl w:ilvl="0">
      <w:lvlJc w:val="left"/>
      <w:lvlText w:val="(%1)"/>
      <w:numFmt w:val="lowerRoman"/>
      <w:start w:val="2"/>
    </w:lvl>
    <w:lvl w:ilvl="1">
      <w:lvlJc w:val="left"/>
      <w:lvlText w:val="(%2)"/>
      <w:numFmt w:val="upperLetter"/>
      <w:start w:val="1"/>
    </w:lvl>
  </w:abstractNum>
  <w:abstractNum w:abstractNumId="55">
    <w:nsid w:val="1CA0C5FA"/>
    <w:multiLevelType w:val="hybridMultilevel"/>
    <w:lvl w:ilvl="0">
      <w:lvlJc w:val="left"/>
      <w:lvlText w:val="%1"/>
      <w:numFmt w:val="lowerRoman"/>
      <w:start w:val="1"/>
    </w:lvl>
    <w:lvl w:ilvl="1">
      <w:lvlJc w:val="left"/>
      <w:lvlText w:val="(%2)"/>
      <w:numFmt w:val="upperLetter"/>
      <w:start w:val="3"/>
    </w:lvl>
  </w:abstractNum>
  <w:abstractNum w:abstractNumId="56">
    <w:nsid w:val="53584BCB"/>
    <w:multiLevelType w:val="hybridMultilevel"/>
    <w:lvl w:ilvl="0">
      <w:lvlJc w:val="left"/>
      <w:lvlText w:val="(%1)"/>
      <w:numFmt w:val="lowerRoman"/>
      <w:start w:val="4"/>
    </w:lvl>
    <w:lvl w:ilvl="1">
      <w:lvlJc w:val="left"/>
      <w:lvlText w:val="(%2)"/>
      <w:numFmt w:val="upperLetter"/>
      <w:start w:val="1"/>
    </w:lvl>
  </w:abstractNum>
  <w:abstractNum w:abstractNumId="57">
    <w:nsid w:val="415E286C"/>
    <w:multiLevelType w:val="hybridMultilevel"/>
    <w:lvl w:ilvl="0">
      <w:lvlJc w:val="left"/>
      <w:lvlText w:val="(%1)"/>
      <w:numFmt w:val="upperLetter"/>
      <w:start w:val="1"/>
    </w:lvl>
  </w:abstractNum>
  <w:abstractNum w:abstractNumId="58">
    <w:nsid w:val="7C58FD05"/>
    <w:multiLevelType w:val="hybridMultilevel"/>
    <w:lvl w:ilvl="0">
      <w:lvlJc w:val="left"/>
      <w:lvlText w:val="(%1)"/>
      <w:numFmt w:val="lowerLetter"/>
      <w:start w:val="3"/>
    </w:lvl>
    <w:lvl w:ilvl="1">
      <w:lvlJc w:val="left"/>
      <w:lvlText w:val="(%2)"/>
      <w:numFmt w:val="lowerRoman"/>
      <w:start w:val="1"/>
    </w:lvl>
  </w:abstractNum>
  <w:abstractNum w:abstractNumId="59">
    <w:nsid w:val="23D86AAC"/>
    <w:multiLevelType w:val="hybridMultilevel"/>
    <w:lvl w:ilvl="0">
      <w:lvlJc w:val="left"/>
      <w:lvlText w:val="(%1)"/>
      <w:numFmt w:val="lowerLetter"/>
      <w:start w:val="1"/>
    </w:lvl>
  </w:abstractNum>
  <w:abstractNum w:abstractNumId="60">
    <w:nsid w:val="45E6D486"/>
    <w:multiLevelType w:val="hybridMultilevel"/>
    <w:lvl w:ilvl="0">
      <w:lvlJc w:val="left"/>
      <w:lvlText w:val="(%1)"/>
      <w:numFmt w:val="lowerLetter"/>
      <w:start w:val="1"/>
    </w:lvl>
  </w:abstractNum>
  <w:abstractNum w:abstractNumId="61">
    <w:nsid w:val="5C10FE21"/>
    <w:multiLevelType w:val="hybridMultilevel"/>
    <w:lvl w:ilvl="0">
      <w:lvlJc w:val="left"/>
      <w:lvlText w:val="(%1)"/>
      <w:numFmt w:val="lowerLetter"/>
      <w:start w:val="4"/>
    </w:lvl>
  </w:abstractNum>
  <w:abstractNum w:abstractNumId="62">
    <w:nsid w:val="E7FFA2B"/>
    <w:multiLevelType w:val="hybridMultilevel"/>
    <w:lvl w:ilvl="0">
      <w:lvlJc w:val="left"/>
      <w:lvlText w:val="(%1)"/>
      <w:numFmt w:val="upperLetter"/>
      <w:start w:val="9"/>
    </w:lvl>
  </w:abstractNum>
  <w:abstractNum w:abstractNumId="63">
    <w:nsid w:val="3C5991AA"/>
    <w:multiLevelType w:val="hybridMultilevel"/>
    <w:lvl w:ilvl="0">
      <w:lvlJc w:val="left"/>
      <w:lvlText w:val="(%1)"/>
      <w:numFmt w:val="lowerLetter"/>
      <w:start w:val="1"/>
    </w:lvl>
  </w:abstractNum>
  <w:abstractNum w:abstractNumId="64">
    <w:nsid w:val="4BD8591A"/>
    <w:multiLevelType w:val="hybridMultilevel"/>
    <w:lvl w:ilvl="0">
      <w:lvlJc w:val="left"/>
      <w:lvlText w:val="(%1)"/>
      <w:numFmt w:val="lowerLetter"/>
      <w:start w:val="3"/>
    </w:lvl>
  </w:abstractNum>
  <w:abstractNum w:abstractNumId="65">
    <w:nsid w:val="78DF6A55"/>
    <w:multiLevelType w:val="hybridMultilevel"/>
    <w:lvl w:ilvl="0">
      <w:lvlJc w:val="left"/>
      <w:lvlText w:val="%1"/>
      <w:numFmt w:val="lowerLetter"/>
      <w:start w:val="1"/>
    </w:lvl>
    <w:lvl w:ilvl="1">
      <w:lvlJc w:val="left"/>
      <w:lvlText w:val="(%2)"/>
      <w:numFmt w:val="lowerLetter"/>
      <w:start w:val="1"/>
    </w:lvl>
  </w:abstractNum>
  <w:abstractNum w:abstractNumId="66">
    <w:nsid w:val="39B7AAA2"/>
    <w:multiLevelType w:val="hybridMultilevel"/>
    <w:lvl w:ilvl="0">
      <w:lvlJc w:val="left"/>
      <w:lvlText w:val="(%1)"/>
      <w:numFmt w:val="lowerLetter"/>
      <w:start w:val="35"/>
    </w:lvl>
    <w:lvl w:ilvl="1">
      <w:lvlJc w:val="left"/>
      <w:lvlText w:val="%2"/>
      <w:numFmt w:val="lowerLetter"/>
      <w:start w:val="1"/>
    </w:lvl>
  </w:abstractNum>
  <w:abstractNum w:abstractNumId="67">
    <w:nsid w:val="2B0D8DBE"/>
    <w:multiLevelType w:val="hybridMultilevel"/>
    <w:lvl w:ilvl="0">
      <w:lvlJc w:val="left"/>
      <w:lvlText w:val="(%1)"/>
      <w:numFmt w:val="lowerLetter"/>
      <w:start w:val="2"/>
    </w:lvl>
  </w:abstractNum>
  <w:abstractNum w:abstractNumId="68">
    <w:nsid w:val="6C80EC70"/>
    <w:multiLevelType w:val="hybridMultilevel"/>
    <w:lvl w:ilvl="0">
      <w:lvlJc w:val="left"/>
      <w:lvlText w:val="(%1)"/>
      <w:numFmt w:val="lowerLetter"/>
      <w:start w:val="1"/>
    </w:lvl>
  </w:abstractNum>
  <w:abstractNum w:abstractNumId="69">
    <w:nsid w:val="379E21B5"/>
    <w:multiLevelType w:val="hybridMultilevel"/>
    <w:lvl w:ilvl="0">
      <w:lvlJc w:val="left"/>
      <w:lvlText w:val="(%1)"/>
      <w:numFmt w:val="lowerLetter"/>
      <w:start w:val="2"/>
    </w:lvl>
  </w:abstractNum>
  <w:abstractNum w:abstractNumId="70">
    <w:nsid w:val="69E373"/>
    <w:multiLevelType w:val="hybridMultilevel"/>
    <w:lvl w:ilvl="0">
      <w:lvlJc w:val="left"/>
      <w:lvlText w:val="%1"/>
      <w:numFmt w:val="lowerLetter"/>
      <w:start w:val="1"/>
    </w:lvl>
    <w:lvl w:ilvl="1">
      <w:lvlJc w:val="left"/>
      <w:lvlText w:val="(%2)"/>
      <w:numFmt w:val="lowerLetter"/>
      <w:start w:val="6"/>
    </w:lvl>
  </w:abstractNum>
  <w:abstractNum w:abstractNumId="71">
    <w:nsid w:val="2C27173B"/>
    <w:multiLevelType w:val="hybridMultilevel"/>
    <w:lvl w:ilvl="0">
      <w:lvlJc w:val="left"/>
      <w:lvlText w:val="(%1)"/>
      <w:numFmt w:val="lowerLetter"/>
      <w:start w:val="9"/>
    </w:lvl>
    <w:lvl w:ilvl="1">
      <w:lvlJc w:val="left"/>
      <w:lvlText w:val="(%2)"/>
      <w:numFmt w:val="lowerLetter"/>
      <w:start w:val="7"/>
    </w:lvl>
  </w:abstractNum>
  <w:abstractNum w:abstractNumId="72">
    <w:nsid w:val="4C9B0904"/>
    <w:multiLevelType w:val="hybridMultilevel"/>
    <w:lvl w:ilvl="0">
      <w:lvlJc w:val="left"/>
      <w:lvlText w:val="(%1)"/>
      <w:numFmt w:val="lowerLetter"/>
      <w:start w:val="10"/>
    </w:lvl>
  </w:abstractNum>
  <w:abstractNum w:abstractNumId="73">
    <w:nsid w:val="6AA7B75C"/>
    <w:multiLevelType w:val="hybridMultilevel"/>
    <w:lvl w:ilvl="0">
      <w:lvlJc w:val="left"/>
      <w:lvlText w:val="(%1)"/>
      <w:numFmt w:val="lowerLetter"/>
      <w:start w:val="11"/>
    </w:lvl>
  </w:abstractNum>
  <w:abstractNum w:abstractNumId="74">
    <w:nsid w:val="1DF029D3"/>
    <w:multiLevelType w:val="hybridMultilevel"/>
    <w:lvl w:ilvl="0">
      <w:lvlJc w:val="left"/>
      <w:lvlText w:val="(%1)"/>
      <w:numFmt w:val="lowerLetter"/>
      <w:start w:val="1"/>
    </w:lvl>
  </w:abstractNum>
  <w:abstractNum w:abstractNumId="75">
    <w:nsid w:val="5675FF36"/>
    <w:multiLevelType w:val="hybridMultilevel"/>
    <w:lvl w:ilvl="0">
      <w:lvlJc w:val="left"/>
      <w:lvlText w:val="(%1)"/>
      <w:numFmt w:val="lowerLetter"/>
      <w:start w:val="2"/>
    </w:lvl>
  </w:abstractNum>
  <w:abstractNum w:abstractNumId="76">
    <w:nsid w:val="3DD15094"/>
    <w:multiLevelType w:val="hybridMultilevel"/>
    <w:lvl w:ilvl="0">
      <w:lvlJc w:val="left"/>
      <w:lvlText w:val="(%1)"/>
      <w:numFmt w:val="lowerLetter"/>
      <w:start w:val="1"/>
    </w:lvl>
  </w:abstractNum>
  <w:abstractNum w:abstractNumId="77">
    <w:nsid w:val="3DB012B3"/>
    <w:multiLevelType w:val="hybridMultilevel"/>
    <w:lvl w:ilvl="0">
      <w:lvlJc w:val="left"/>
      <w:lvlText w:val="(%1)"/>
      <w:numFmt w:val="lowerLetter"/>
      <w:start w:val="2"/>
    </w:lvl>
  </w:abstractNum>
  <w:abstractNum w:abstractNumId="78">
    <w:nsid w:val="2708C9AF"/>
    <w:multiLevelType w:val="hybridMultilevel"/>
    <w:lvl w:ilvl="0">
      <w:lvlJc w:val="left"/>
      <w:lvlText w:val="(%1)"/>
      <w:numFmt w:val="lowerLetter"/>
      <w:start w:val="1"/>
    </w:lvl>
    <w:lvl w:ilvl="1">
      <w:lvlJc w:val="left"/>
      <w:lvlText w:val="(%2)"/>
      <w:numFmt w:val="lowerRoman"/>
      <w:start w:val="1"/>
    </w:lvl>
  </w:abstractNum>
  <w:abstractNum w:abstractNumId="79">
    <w:nsid w:val="5B25ACE2"/>
    <w:multiLevelType w:val="hybridMultilevel"/>
    <w:lvl w:ilvl="0">
      <w:lvlJc w:val="left"/>
      <w:lvlText w:val="%1"/>
      <w:numFmt w:val="lowerLetter"/>
      <w:start w:val="1"/>
    </w:lvl>
    <w:lvl w:ilvl="1">
      <w:lvlJc w:val="left"/>
      <w:lvlText w:val="(%2)"/>
      <w:numFmt w:val="lowerRoman"/>
      <w:start w:val="8"/>
    </w:lvl>
  </w:abstractNum>
  <w:abstractNum w:abstractNumId="80">
    <w:nsid w:val="175DFCF0"/>
    <w:multiLevelType w:val="hybridMultilevel"/>
    <w:lvl w:ilvl="0">
      <w:lvlJc w:val="left"/>
      <w:lvlText w:val="(%1)"/>
      <w:numFmt w:val="lowerLetter"/>
      <w:start w:val="2"/>
    </w:lvl>
    <w:lvl w:ilvl="1">
      <w:lvlJc w:val="left"/>
      <w:lvlText w:val="(%2)"/>
      <w:numFmt w:val="lowerRoman"/>
      <w:start w:val="11"/>
    </w:lvl>
  </w:abstractNum>
  <w:abstractNum w:abstractNumId="81">
    <w:nsid w:val="4F97E3E4"/>
    <w:multiLevelType w:val="hybridMultilevel"/>
    <w:lvl w:ilvl="0">
      <w:lvlJc w:val="left"/>
      <w:lvlText w:val="(%1)"/>
      <w:numFmt w:val="upperLetter"/>
      <w:start w:val="2"/>
    </w:lvl>
    <w:lvl w:ilvl="1">
      <w:lvlJc w:val="left"/>
      <w:lvlText w:val="(%2)"/>
      <w:numFmt w:val="lowerLetter"/>
      <w:start w:val="2"/>
    </w:lvl>
  </w:abstractNum>
  <w:abstractNum w:abstractNumId="82">
    <w:nsid w:val="53B0A9E"/>
    <w:multiLevelType w:val="hybridMultilevel"/>
    <w:lvl w:ilvl="0">
      <w:lvlJc w:val="left"/>
      <w:lvlText w:val="(%1)"/>
      <w:numFmt w:val="lowerLetter"/>
      <w:start w:val="3"/>
    </w:lvl>
  </w:abstractNum>
  <w:abstractNum w:abstractNumId="83">
    <w:nsid w:val="34FD6B4F"/>
    <w:multiLevelType w:val="hybridMultilevel"/>
    <w:lvl w:ilvl="0">
      <w:lvlJc w:val="left"/>
      <w:lvlText w:val="(%1)"/>
      <w:numFmt w:val="lowerLetter"/>
      <w:start w:val="1"/>
    </w:lvl>
    <w:lvl w:ilvl="1">
      <w:lvlJc w:val="left"/>
      <w:lvlText w:val="(%2)"/>
      <w:numFmt w:val="lowerLetter"/>
      <w:start w:val="9"/>
    </w:lvl>
  </w:abstractNum>
  <w:abstractNum w:abstractNumId="84">
    <w:nsid w:val="5915FF32"/>
    <w:multiLevelType w:val="hybridMultilevel"/>
    <w:lvl w:ilvl="0">
      <w:lvlJc w:val="left"/>
      <w:lvlText w:val="%1"/>
      <w:numFmt w:val="lowerLetter"/>
      <w:start w:val="1"/>
    </w:lvl>
    <w:lvl w:ilvl="1">
      <w:lvlJc w:val="left"/>
      <w:lvlText w:val="(%2)"/>
      <w:numFmt w:val="lowerRoman"/>
      <w:start w:val="2"/>
    </w:lvl>
  </w:abstractNum>
  <w:abstractNum w:abstractNumId="85">
    <w:nsid w:val="56438D15"/>
    <w:multiLevelType w:val="hybridMultilevel"/>
    <w:lvl w:ilvl="0">
      <w:lvlJc w:val="left"/>
      <w:lvlText w:val="(%1)"/>
      <w:numFmt w:val="lowerLetter"/>
      <w:start w:val="3"/>
    </w:lvl>
    <w:lvl w:ilvl="1">
      <w:lvlJc w:val="left"/>
      <w:lvlText w:val="(%2)"/>
      <w:numFmt w:val="lowerRoman"/>
      <w:start w:val="4"/>
    </w:lvl>
  </w:abstractNum>
  <w:abstractNum w:abstractNumId="86">
    <w:nsid w:val="519E3149"/>
    <w:multiLevelType w:val="hybridMultilevel"/>
    <w:lvl w:ilvl="0">
      <w:lvlJc w:val="left"/>
      <w:lvlText w:val="%1"/>
      <w:numFmt w:val="lowerLetter"/>
      <w:start w:val="1"/>
    </w:lvl>
    <w:lvl w:ilvl="1">
      <w:lvlJc w:val="left"/>
      <w:lvlText w:val="(%2)"/>
      <w:numFmt w:val="lowerRoman"/>
      <w:start w:val="6"/>
    </w:lvl>
  </w:abstractNum>
  <w:abstractNum w:abstractNumId="87">
    <w:nsid w:val="2C6E4AFD"/>
    <w:multiLevelType w:val="hybridMultilevel"/>
    <w:lvl w:ilvl="0">
      <w:lvlJc w:val="left"/>
      <w:lvlText w:val="(%1)"/>
      <w:numFmt w:val="lowerLetter"/>
      <w:start w:val="2"/>
    </w:lvl>
    <w:lvl w:ilvl="1">
      <w:lvlJc w:val="left"/>
      <w:lvlText w:val="(%2)"/>
      <w:numFmt w:val="lowerRoman"/>
      <w:start w:val="1"/>
    </w:lvl>
  </w:abstractNum>
  <w:abstractNum w:abstractNumId="88">
    <w:nsid w:val="17A1B582"/>
    <w:multiLevelType w:val="hybridMultilevel"/>
    <w:lvl w:ilvl="0">
      <w:lvlJc w:val="left"/>
      <w:lvlText w:val="(%1)"/>
      <w:numFmt w:val="lowerRoman"/>
      <w:start w:val="2"/>
    </w:lvl>
  </w:abstractNum>
  <w:abstractNum w:abstractNumId="89">
    <w:nsid w:val="4DF72E4E"/>
    <w:multiLevelType w:val="hybridMultilevel"/>
    <w:lvl w:ilvl="0">
      <w:lvlJc w:val="left"/>
      <w:lvlText w:val="%1"/>
      <w:numFmt w:val="lowerLetter"/>
      <w:start w:val="1"/>
    </w:lvl>
    <w:lvl w:ilvl="1">
      <w:lvlJc w:val="left"/>
      <w:lvlText w:val="(%2)"/>
      <w:numFmt w:val="lowerLetter"/>
      <w:start w:val="1"/>
    </w:lvl>
  </w:abstractNum>
  <w:abstractNum w:abstractNumId="90">
    <w:nsid w:val="5046B5A9"/>
    <w:multiLevelType w:val="hybridMultilevel"/>
    <w:lvl w:ilvl="0">
      <w:lvlJc w:val="left"/>
      <w:lvlText w:val="(%1)"/>
      <w:numFmt w:val="lowerLetter"/>
      <w:start w:val="35"/>
    </w:lvl>
    <w:lvl w:ilvl="1">
      <w:lvlJc w:val="left"/>
      <w:lvlText w:val="%2"/>
      <w:numFmt w:val="lowerLetter"/>
      <w:start w:val="1"/>
    </w:lvl>
  </w:abstractNum>
  <w:abstractNum w:abstractNumId="91">
    <w:nsid w:val="5D888A08"/>
    <w:multiLevelType w:val="hybridMultilevel"/>
    <w:lvl w:ilvl="0">
      <w:lvlJc w:val="left"/>
      <w:lvlText w:val="(%1)"/>
      <w:numFmt w:val="lowerLetter"/>
      <w:start w:val="1"/>
    </w:lvl>
  </w:abstractNum>
  <w:abstractNum w:abstractNumId="92">
    <w:nsid w:val="2A082C70"/>
    <w:multiLevelType w:val="hybridMultilevel"/>
    <w:lvl w:ilvl="0">
      <w:lvlJc w:val="left"/>
      <w:lvlText w:val="(%1)"/>
      <w:numFmt w:val="lowerLetter"/>
      <w:start w:val="4"/>
    </w:lvl>
  </w:abstractNum>
  <w:abstractNum w:abstractNumId="93">
    <w:nsid w:val="5EC6AFD4"/>
    <w:multiLevelType w:val="hybridMultilevel"/>
    <w:lvl w:ilvl="0">
      <w:lvlJc w:val="left"/>
      <w:lvlText w:val="%1"/>
      <w:numFmt w:val="lowerLetter"/>
      <w:start w:val="1"/>
    </w:lvl>
    <w:lvl w:ilvl="1">
      <w:lvlJc w:val="left"/>
      <w:lvlText w:val="(%2)"/>
      <w:numFmt w:val="lowerLetter"/>
      <w:start w:val="1"/>
    </w:lvl>
  </w:abstractNum>
  <w:abstractNum w:abstractNumId="94">
    <w:nsid w:val="19E21BB2"/>
    <w:multiLevelType w:val="hybridMultilevel"/>
    <w:lvl w:ilvl="0">
      <w:lvlJc w:val="left"/>
      <w:lvlText w:val="(%1)"/>
      <w:numFmt w:val="lowerLetter"/>
      <w:start w:val="9"/>
    </w:lvl>
    <w:lvl w:ilvl="1">
      <w:lvlJc w:val="left"/>
      <w:lvlText w:val="%2"/>
      <w:numFmt w:val="lowerLetter"/>
      <w:start w:val="1"/>
    </w:lvl>
  </w:abstractNum>
  <w:abstractNum w:abstractNumId="95">
    <w:nsid w:val="75E0858A"/>
    <w:multiLevelType w:val="hybridMultilevel"/>
    <w:lvl w:ilvl="0">
      <w:lvlJc w:val="left"/>
      <w:lvlText w:val="%1"/>
      <w:numFmt w:val="decimal"/>
      <w:start w:val="1"/>
    </w:lvl>
    <w:lvl w:ilvl="1">
      <w:lvlJc w:val="left"/>
      <w:lvlText w:val="(%2)"/>
      <w:numFmt w:val="lowerLetter"/>
      <w:start w:val="2"/>
    </w:lvl>
  </w:abstractNum>
  <w:abstractNum w:abstractNumId="96">
    <w:nsid w:val="57A61A29"/>
    <w:multiLevelType w:val="hybridMultilevel"/>
    <w:lvl w:ilvl="0">
      <w:lvlJc w:val="left"/>
      <w:lvlText w:val="(%1)"/>
      <w:numFmt w:val="decimal"/>
      <w:start w:val="10"/>
    </w:lvl>
    <w:lvl w:ilvl="1">
      <w:lvlJc w:val="left"/>
      <w:lvlText w:val="%2"/>
      <w:numFmt w:val="lowerLetter"/>
      <w:start w:val="1"/>
    </w:lvl>
  </w:abstractNum>
  <w:abstractNum w:abstractNumId="97">
    <w:nsid w:val="5399C654"/>
    <w:multiLevelType w:val="hybridMultilevel"/>
    <w:lvl w:ilvl="0">
      <w:lvlJc w:val="left"/>
      <w:lvlText w:val="(%1)"/>
      <w:numFmt w:val="lowerLetter"/>
      <w:start w:val="6"/>
    </w:lvl>
  </w:abstractNum>
  <w:abstractNum w:abstractNumId="98">
    <w:nsid w:val="20EE1348"/>
    <w:multiLevelType w:val="hybridMultilevel"/>
    <w:lvl w:ilvl="0">
      <w:lvlJc w:val="left"/>
      <w:lvlText w:val="(%1)"/>
      <w:numFmt w:val="lowerLetter"/>
      <w:start w:val="1"/>
    </w:lvl>
    <w:lvl w:ilvl="1">
      <w:lvlJc w:val="left"/>
      <w:lvlText w:val="(%2)"/>
      <w:numFmt w:val="lowerRoman"/>
      <w:start w:val="1"/>
    </w:lvl>
  </w:abstractNum>
  <w:abstractNum w:abstractNumId="99">
    <w:nsid w:val="4427069A"/>
    <w:multiLevelType w:val="hybridMultilevel"/>
    <w:lvl w:ilvl="0">
      <w:lvlJc w:val="left"/>
      <w:lvlText w:val="%1"/>
      <w:numFmt w:val="lowerLetter"/>
      <w:start w:val="1"/>
    </w:lvl>
    <w:lvl w:ilvl="1">
      <w:lvlJc w:val="left"/>
      <w:lvlText w:val="(%2)"/>
      <w:numFmt w:val="lowerRoman"/>
      <w:start w:val="3"/>
    </w:lvl>
  </w:abstractNum>
  <w:abstractNum w:abstractNumId="100">
    <w:nsid w:val="B37E80A"/>
    <w:multiLevelType w:val="hybridMultilevel"/>
    <w:lvl w:ilvl="0">
      <w:lvlJc w:val="left"/>
      <w:lvlText w:val="(%1)"/>
      <w:numFmt w:val="lowerLetter"/>
      <w:start w:val="2"/>
    </w:lvl>
    <w:lvl w:ilvl="1">
      <w:lvlJc w:val="left"/>
      <w:lvlText w:val="%2"/>
      <w:numFmt w:val="lowerRoman"/>
      <w:start w:val="1"/>
    </w:lvl>
  </w:abstractNum>
  <w:abstractNum w:abstractNumId="101">
    <w:nsid w:val="2157F6BC"/>
    <w:multiLevelType w:val="hybridMultilevel"/>
    <w:lvl w:ilvl="0">
      <w:lvlJc w:val="left"/>
      <w:lvlText w:val="(%1)"/>
      <w:numFmt w:val="lowerLetter"/>
      <w:start w:val="3"/>
    </w:lvl>
  </w:abstractNum>
  <w:abstractNum w:abstractNumId="102">
    <w:nsid w:val="704E1DD5"/>
    <w:multiLevelType w:val="hybridMultilevel"/>
    <w:lvl w:ilvl="0">
      <w:lvlJc w:val="left"/>
      <w:lvlText w:val="(%1)"/>
      <w:numFmt w:val="lowerLetter"/>
      <w:start w:val="1"/>
    </w:lvl>
  </w:abstractNum>
  <w:abstractNum w:abstractNumId="103">
    <w:nsid w:val="57D2F10E"/>
    <w:multiLevelType w:val="hybridMultilevel"/>
    <w:lvl w:ilvl="0">
      <w:lvlJc w:val="left"/>
      <w:lvlText w:val="(%1)"/>
      <w:numFmt w:val="lowerLetter"/>
      <w:start w:val="6"/>
    </w:lvl>
  </w:abstractNum>
  <w:abstractNum w:abstractNumId="104">
    <w:nsid w:val="BFFAE18"/>
    <w:multiLevelType w:val="hybridMultilevel"/>
    <w:lvl w:ilvl="0">
      <w:lvlJc w:val="left"/>
      <w:lvlText w:val="(%1)"/>
      <w:numFmt w:val="lowerLetter"/>
      <w:start w:val="12"/>
    </w:lvl>
  </w:abstractNum>
  <w:abstractNum w:abstractNumId="105">
    <w:nsid w:val="E3E47A8"/>
    <w:multiLevelType w:val="hybridMultilevel"/>
    <w:lvl w:ilvl="0">
      <w:lvlJc w:val="left"/>
      <w:lvlText w:val="(%1)"/>
      <w:numFmt w:val="lowerLetter"/>
      <w:start w:val="1"/>
    </w:lvl>
  </w:abstractNum>
  <w:abstractNum w:abstractNumId="106">
    <w:nsid w:val="2E48F044"/>
    <w:multiLevelType w:val="hybridMultilevel"/>
    <w:lvl w:ilvl="0">
      <w:lvlJc w:val="left"/>
      <w:lvlText w:val="(%1)"/>
      <w:numFmt w:val="lowerLetter"/>
      <w:start w:val="4"/>
    </w:lvl>
  </w:abstractNum>
  <w:abstractNum w:abstractNumId="107">
    <w:nsid w:val="49D0FEAC"/>
    <w:multiLevelType w:val="hybridMultilevel"/>
    <w:lvl w:ilvl="0">
      <w:lvlJc w:val="left"/>
      <w:lvlText w:val="(%1)"/>
      <w:numFmt w:val="lowerLetter"/>
      <w:start w:val="1"/>
    </w:lvl>
    <w:lvl w:ilvl="1">
      <w:lvlJc w:val="left"/>
      <w:lvlText w:val="(%2)"/>
      <w:numFmt w:val="lowerRoman"/>
      <w:start w:val="1"/>
    </w:lvl>
  </w:abstractNum>
  <w:abstractNum w:abstractNumId="108">
    <w:nsid w:val="4BEE5A5B"/>
    <w:multiLevelType w:val="hybridMultilevel"/>
    <w:lvl w:ilvl="0">
      <w:lvlJc w:val="left"/>
      <w:lvlText w:val="(%1)"/>
      <w:numFmt w:val="lowerRoman"/>
      <w:start w:val="2"/>
    </w:lvl>
    <w:lvl w:ilvl="1">
      <w:lvlJc w:val="left"/>
      <w:lvlText w:val="(%2)"/>
      <w:numFmt w:val="lowerRoman"/>
      <w:start w:val="7"/>
    </w:lvl>
  </w:abstractNum>
  <w:abstractNum w:abstractNumId="109">
    <w:nsid w:val="5551B9F3"/>
    <w:multiLevelType w:val="hybridMultilevel"/>
    <w:lvl w:ilvl="0">
      <w:lvlJc w:val="left"/>
      <w:lvlText w:val="(%1)"/>
      <w:numFmt w:val="upperLetter"/>
      <w:start w:val="16"/>
    </w:lvl>
    <w:lvl w:ilvl="1">
      <w:lvlJc w:val="left"/>
      <w:lvlText w:val="(%2)"/>
      <w:numFmt w:val="lowerRoman"/>
      <w:start w:val="11"/>
    </w:lvl>
  </w:abstractNum>
  <w:abstractNum w:abstractNumId="110">
    <w:nsid w:val="24F6AB8E"/>
    <w:multiLevelType w:val="hybridMultilevel"/>
    <w:lvl w:ilvl="0">
      <w:lvlJc w:val="left"/>
      <w:lvlText w:val="(%1)"/>
      <w:numFmt w:val="decimal"/>
      <w:start w:val="2"/>
    </w:lvl>
  </w:abstractNum>
  <w:abstractNum w:abstractNumId="111">
    <w:nsid w:val="634C574C"/>
    <w:multiLevelType w:val="hybridMultilevel"/>
    <w:lvl w:ilvl="0">
      <w:lvlJc w:val="left"/>
      <w:lvlText w:val="(%1)"/>
      <w:numFmt w:val="lowerLetter"/>
      <w:start w:val="2"/>
    </w:lvl>
  </w:abstractNum>
  <w:abstractNum w:abstractNumId="112">
    <w:nsid w:val="24E99DD7"/>
    <w:multiLevelType w:val="hybridMultilevel"/>
    <w:lvl w:ilvl="0">
      <w:lvlJc w:val="left"/>
      <w:lvlText w:val="(%1)"/>
      <w:numFmt w:val="lowerLetter"/>
      <w:start w:val="1"/>
    </w:lvl>
  </w:abstractNum>
  <w:abstractNum w:abstractNumId="113">
    <w:nsid w:val="2A31B62D"/>
    <w:multiLevelType w:val="hybridMultilevel"/>
    <w:lvl w:ilvl="0">
      <w:lvlJc w:val="left"/>
      <w:lvlText w:val="(%1)"/>
      <w:numFmt w:val="lowerLetter"/>
      <w:start w:val="5"/>
    </w:lvl>
  </w:abstractNum>
  <w:abstractNum w:abstractNumId="114">
    <w:nsid w:val="1849C29B"/>
    <w:multiLevelType w:val="hybridMultilevel"/>
    <w:lvl w:ilvl="0">
      <w:lvlJc w:val="left"/>
      <w:lvlText w:val="(%1)"/>
      <w:numFmt w:val="lowerLetter"/>
      <w:start w:val="1"/>
    </w:lvl>
    <w:lvl w:ilvl="1">
      <w:lvlJc w:val="left"/>
      <w:lvlText w:val="(%2)"/>
      <w:numFmt w:val="lowerRoman"/>
      <w:start w:val="1"/>
    </w:lvl>
  </w:abstractNum>
  <w:abstractNum w:abstractNumId="115">
    <w:nsid w:val="7DFF9D0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116">
    <w:nsid w:val="754342"/>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117">
    <w:nsid w:val="69E7F3E5"/>
    <w:multiLevelType w:val="hybridMultilevel"/>
    <w:lvl w:ilvl="0">
      <w:lvlJc w:val="left"/>
      <w:lvlText w:val="(%1)"/>
      <w:numFmt w:val="lowerLetter"/>
      <w:start w:val="22"/>
    </w:lvl>
    <w:lvl w:ilvl="1">
      <w:lvlJc w:val="left"/>
      <w:lvlText w:val="(%2)"/>
      <w:numFmt w:val="lowerLetter"/>
      <w:start w:val="4"/>
    </w:lvl>
    <w:lvl w:ilvl="2">
      <w:lvlJc w:val="left"/>
      <w:lvlText w:val="%3"/>
      <w:numFmt w:val="lowerLetter"/>
      <w:start w:val="1"/>
    </w:lvl>
  </w:abstractNum>
  <w:abstractNum w:abstractNumId="118">
    <w:nsid w:val="2A6DE806"/>
    <w:multiLevelType w:val="hybridMultilevel"/>
    <w:lvl w:ilvl="0">
      <w:lvlJc w:val="left"/>
      <w:lvlText w:val="(%1)"/>
      <w:numFmt w:val="decimal"/>
      <w:start w:val="30"/>
    </w:lvl>
  </w:abstractNum>
  <w:abstractNum w:abstractNumId="119">
    <w:nsid w:val="1816F8C4"/>
    <w:multiLevelType w:val="hybridMultilevel"/>
    <w:lvl w:ilvl="0">
      <w:lvlJc w:val="left"/>
      <w:lvlText w:val="(%1)"/>
      <w:numFmt w:val="lowerLetter"/>
      <w:start w:val="1"/>
    </w:lvl>
  </w:abstractNum>
  <w:abstractNum w:abstractNumId="120">
    <w:nsid w:val="37DF2233"/>
    <w:multiLevelType w:val="hybridMultilevel"/>
    <w:lvl w:ilvl="0">
      <w:lvlJc w:val="left"/>
      <w:lvlText w:val="(%1)"/>
      <w:numFmt w:val="lowerLetter"/>
      <w:start w:val="2"/>
    </w:lvl>
  </w:abstractNum>
  <w:abstractNum w:abstractNumId="121">
    <w:nsid w:val="7AB49DAF"/>
    <w:multiLevelType w:val="hybridMultilevel"/>
    <w:lvl w:ilvl="0">
      <w:lvlJc w:val="left"/>
      <w:lvlText w:val="(%1)"/>
      <w:numFmt w:val="lowerRoman"/>
      <w:start w:val="1"/>
    </w:lvl>
  </w:abstractNum>
  <w:abstractNum w:abstractNumId="122">
    <w:nsid w:val="759F82CD"/>
    <w:multiLevelType w:val="hybridMultilevel"/>
    <w:lvl w:ilvl="0">
      <w:lvlJc w:val="left"/>
      <w:lvlText w:val="(%1)"/>
      <w:numFmt w:val="lowerLetter"/>
      <w:start w:val="1"/>
    </w:lvl>
  </w:abstractNum>
  <w:abstractNum w:abstractNumId="123">
    <w:nsid w:val="61E74EA3"/>
    <w:multiLevelType w:val="hybridMultilevel"/>
    <w:lvl w:ilvl="0">
      <w:lvlJc w:val="left"/>
      <w:lvlText w:val="(%1)"/>
      <w:numFmt w:val="lowerLetter"/>
      <w:start w:val="1"/>
    </w:lvl>
  </w:abstractNum>
  <w:abstractNum w:abstractNumId="124">
    <w:nsid w:val="597B4D84"/>
    <w:multiLevelType w:val="hybridMultilevel"/>
    <w:lvl w:ilvl="0">
      <w:lvlJc w:val="left"/>
      <w:lvlText w:val="%1"/>
      <w:numFmt w:val="lowerLetter"/>
      <w:start w:val="1"/>
    </w:lvl>
    <w:lvl w:ilvl="1">
      <w:lvlJc w:val="left"/>
      <w:lvlText w:val="(%2)"/>
      <w:numFmt w:val="lowerLetter"/>
      <w:start w:val="2"/>
    </w:lvl>
  </w:abstractNum>
  <w:abstractNum w:abstractNumId="125">
    <w:nsid w:val="F819E7F"/>
    <w:multiLevelType w:val="hybridMultilevel"/>
    <w:lvl w:ilvl="0">
      <w:lvlJc w:val="left"/>
      <w:lvlText w:val="(%1)"/>
      <w:numFmt w:val="lowerLetter"/>
      <w:start w:val="9"/>
    </w:lvl>
    <w:lvl w:ilvl="1">
      <w:lvlJc w:val="left"/>
      <w:lvlText w:val="(%2)"/>
      <w:numFmt w:val="lowerLetter"/>
      <w:start w:val="3"/>
    </w:lvl>
  </w:abstractNum>
  <w:abstractNum w:abstractNumId="126">
    <w:nsid w:val="57C7D42D"/>
    <w:multiLevelType w:val="hybridMultilevel"/>
    <w:lvl w:ilvl="0">
      <w:lvlJc w:val="left"/>
      <w:lvlText w:val="(%1)"/>
      <w:numFmt w:val="lowerLetter"/>
      <w:start w:val="1"/>
    </w:lvl>
  </w:abstractNum>
  <w:abstractNum w:abstractNumId="127">
    <w:nsid w:val="312167AD"/>
    <w:multiLevelType w:val="hybridMultilevel"/>
    <w:lvl w:ilvl="0">
      <w:lvlJc w:val="left"/>
      <w:lvlText w:val="(%1)"/>
      <w:numFmt w:val="lowerLetter"/>
      <w:start w:val="1"/>
    </w:lvl>
  </w:abstractNum>
  <w:abstractNum w:abstractNumId="128">
    <w:nsid w:val="631B64D4"/>
    <w:multiLevelType w:val="hybridMultilevel"/>
    <w:lvl w:ilvl="0">
      <w:lvlJc w:val="left"/>
      <w:lvlText w:val="(%1)"/>
      <w:numFmt w:val="lowerLetter"/>
      <w:start w:val="2"/>
    </w:lvl>
    <w:lvl w:ilvl="1">
      <w:lvlJc w:val="left"/>
      <w:lvlText w:val="(%2)"/>
      <w:numFmt w:val="lowerRoman"/>
      <w:start w:val="2"/>
    </w:lvl>
    <w:lvl w:ilvl="2">
      <w:lvlJc w:val="left"/>
      <w:lvlText w:val="(%3)"/>
      <w:numFmt w:val="lowerRoman"/>
      <w:start w:val="1"/>
    </w:lvl>
  </w:abstractNum>
  <w:abstractNum w:abstractNumId="129">
    <w:nsid w:val="78B5E776"/>
    <w:multiLevelType w:val="hybridMultilevel"/>
    <w:lvl w:ilvl="0">
      <w:lvlJc w:val="left"/>
      <w:lvlText w:val="(%1)"/>
      <w:numFmt w:val="lowerLetter"/>
      <w:start w:val="1"/>
    </w:lvl>
  </w:abstractNum>
  <w:abstractNum w:abstractNumId="130">
    <w:nsid w:val="75486E47"/>
    <w:multiLevelType w:val="hybridMultilevel"/>
    <w:lvl w:ilvl="0">
      <w:lvlJc w:val="left"/>
      <w:lvlText w:val="(%1)"/>
      <w:numFmt w:val="lowerLetter"/>
      <w:start w:val="1"/>
    </w:lvl>
  </w:abstractNum>
  <w:abstractNum w:abstractNumId="131">
    <w:nsid w:val="6E534CDE"/>
    <w:multiLevelType w:val="hybridMultilevel"/>
    <w:lvl w:ilvl="0">
      <w:lvlJc w:val="left"/>
      <w:lvlText w:val="%1)"/>
      <w:numFmt w:val="decimal"/>
      <w:start w:val="1"/>
    </w:lvl>
  </w:abstractNum>
  <w:abstractNum w:abstractNumId="132">
    <w:nsid w:val="1A0DDE32"/>
    <w:multiLevelType w:val="hybridMultilevel"/>
    <w:lvl w:ilvl="0">
      <w:lvlJc w:val="left"/>
      <w:lvlText w:val="%1."/>
      <w:numFmt w:val="decimal"/>
      <w:start w:val="1"/>
    </w:lvl>
  </w:abstractNum>
  <w:abstractNum w:abstractNumId="133">
    <w:nsid w:val="65968C1C"/>
    <w:multiLevelType w:val="hybridMultilevel"/>
    <w:lvl w:ilvl="0">
      <w:lvlJc w:val="left"/>
      <w:lvlText w:val="(%1)"/>
      <w:numFmt w:val="lowerLetter"/>
      <w:start w:val="1"/>
    </w:lvl>
    <w:lvl w:ilvl="1">
      <w:lvlJc w:val="left"/>
      <w:lvlText w:val="(%2)"/>
      <w:numFmt w:val="lowerLetter"/>
      <w:start w:val="9"/>
    </w:lvl>
  </w:abstractNum>
  <w:abstractNum w:abstractNumId="134">
    <w:nsid w:val="46263DE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135">
    <w:nsid w:val="260D8C4A"/>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36">
    <w:nsid w:val="73D4D3C4"/>
    <w:multiLevelType w:val="hybridMultilevel"/>
    <w:lvl w:ilvl="0">
      <w:lvlJc w:val="left"/>
      <w:lvlText w:val="(%1)"/>
      <w:numFmt w:val="lowerLetter"/>
      <w:start w:val="24"/>
    </w:lvl>
    <w:lvl w:ilvl="1">
      <w:lvlJc w:val="left"/>
      <w:lvlText w:val="(%2)"/>
      <w:numFmt w:val="lowerLetter"/>
      <w:start w:val="3"/>
    </w:lvl>
    <w:lvl w:ilvl="2">
      <w:lvlJc w:val="left"/>
      <w:lvlText w:val="%3"/>
      <w:numFmt w:val="lowerRoman"/>
      <w:start w:val="1"/>
    </w:lvl>
  </w:abstractNum>
  <w:abstractNum w:abstractNumId="137">
    <w:nsid w:val="746F2E30"/>
    <w:multiLevelType w:val="hybridMultilevel"/>
    <w:lvl w:ilvl="0">
      <w:lvlJc w:val="left"/>
      <w:lvlText w:val="%1."/>
      <w:numFmt w:val="decimal"/>
      <w:start w:val="2"/>
    </w:lvl>
    <w:lvl w:ilvl="1">
      <w:lvlJc w:val="left"/>
      <w:lvlText w:val="(%2)"/>
      <w:numFmt w:val="lowerRoman"/>
      <w:start w:val="1"/>
    </w:lvl>
  </w:abstractNum>
  <w:abstractNum w:abstractNumId="138">
    <w:nsid w:val="6FDE8AF6"/>
    <w:multiLevelType w:val="hybridMultilevel"/>
    <w:lvl w:ilvl="0">
      <w:lvlJc w:val="left"/>
      <w:lvlText w:val="%1"/>
      <w:numFmt w:val="decimal"/>
      <w:start w:val="1"/>
    </w:lvl>
    <w:lvl w:ilvl="1">
      <w:lvlJc w:val="left"/>
      <w:lvlText w:val="(%2)"/>
      <w:numFmt w:val="lowerRoman"/>
      <w:start w:val="10"/>
    </w:lvl>
  </w:abstractNum>
  <w:abstractNum w:abstractNumId="139">
    <w:nsid w:val="3FC32E20"/>
    <w:multiLevelType w:val="hybridMultilevel"/>
    <w:lvl w:ilvl="0">
      <w:lvlJc w:val="left"/>
      <w:lvlText w:val="%1."/>
      <w:numFmt w:val="decimal"/>
      <w:start w:val="3"/>
    </w:lvl>
    <w:lvl w:ilvl="1">
      <w:lvlJc w:val="left"/>
      <w:lvlText w:val="(%2)"/>
      <w:numFmt w:val="lowerRoman"/>
      <w:start w:val="1"/>
    </w:lvl>
  </w:abstractNum>
  <w:abstractNum w:abstractNumId="140">
    <w:nsid w:val="49C0E823"/>
    <w:multiLevelType w:val="hybridMultilevel"/>
    <w:lvl w:ilvl="0">
      <w:lvlJc w:val="left"/>
      <w:lvlText w:val="%1"/>
      <w:numFmt w:val="decimal"/>
      <w:start w:val="1"/>
    </w:lvl>
    <w:lvl w:ilvl="1">
      <w:lvlJc w:val="left"/>
      <w:lvlText w:val="(%2)"/>
      <w:numFmt w:val="lowerRoman"/>
      <w:start w:val="5"/>
    </w:lvl>
  </w:abstractNum>
  <w:abstractNum w:abstractNumId="141">
    <w:nsid w:val="14D53685"/>
    <w:multiLevelType w:val="hybridMultilevel"/>
    <w:lvl w:ilvl="0">
      <w:lvlJc w:val="left"/>
      <w:lvlText w:val="%1."/>
      <w:numFmt w:val="decimal"/>
      <w:start w:val="4"/>
    </w:lvl>
    <w:lvl w:ilvl="1">
      <w:lvlJc w:val="left"/>
      <w:lvlText w:val="%2"/>
      <w:numFmt w:val="lowerRoman"/>
      <w:start w:val="1"/>
    </w:lvl>
  </w:abstractNum>
  <w:abstractNum w:abstractNumId="142">
    <w:nsid w:val="230F856C"/>
    <w:multiLevelType w:val="hybridMultilevel"/>
    <w:lvl w:ilvl="0">
      <w:lvlJc w:val="left"/>
      <w:lvlText w:val="%1."/>
      <w:numFmt w:val="decimal"/>
      <w:start w:val="6"/>
    </w:lvl>
  </w:abstractNum>
  <w:abstractNum w:abstractNumId="143">
    <w:nsid w:val="6EAA85FB"/>
    <w:multiLevelType w:val="hybridMultilevel"/>
    <w:lvl w:ilvl="0">
      <w:lvlJc w:val="left"/>
      <w:lvlText w:val="(%1)"/>
      <w:numFmt w:val="lowerLetter"/>
      <w:start w:val="1"/>
    </w:lvl>
  </w:abstractNum>
  <w:abstractNum w:abstractNumId="144">
    <w:nsid w:val="3F06ECB2"/>
    <w:multiLevelType w:val="hybridMultilevel"/>
    <w:lvl w:ilvl="0">
      <w:lvlJc w:val="left"/>
      <w:lvlText w:val="%1."/>
      <w:numFmt w:val="decimal"/>
      <w:start w:val="8"/>
    </w:lvl>
  </w:abstractNum>
  <w:abstractNum w:abstractNumId="145">
    <w:nsid w:val="3B594807"/>
    <w:multiLevelType w:val="hybridMultilevel"/>
    <w:lvl w:ilvl="0">
      <w:lvlJc w:val="left"/>
      <w:lvlText w:val="%1."/>
      <w:numFmt w:val="decimal"/>
      <w:start w:val="9"/>
    </w:lvl>
  </w:abstractNum>
  <w:abstractNum w:abstractNumId="146">
    <w:nsid w:val="6CAA2304"/>
    <w:multiLevelType w:val="hybridMultilevel"/>
    <w:lvl w:ilvl="0">
      <w:lvlJc w:val="left"/>
      <w:lvlText w:val="%1."/>
      <w:numFmt w:val="decimal"/>
      <w:start w:val="14"/>
    </w:lvl>
  </w:abstractNum>
  <w:abstractNum w:abstractNumId="147">
    <w:nsid w:val="3F7C2FF4"/>
    <w:multiLevelType w:val="hybridMultilevel"/>
    <w:lvl w:ilvl="0">
      <w:lvlJc w:val="left"/>
      <w:lvlText w:val="(%1)"/>
      <w:numFmt w:val="lowerLetter"/>
      <w:start w:val="1"/>
    </w:lvl>
  </w:abstractNum>
  <w:abstractNum w:abstractNumId="148">
    <w:nsid w:val="25413BEC"/>
    <w:multiLevelType w:val="hybridMultilevel"/>
    <w:lvl w:ilvl="0">
      <w:lvlJc w:val="left"/>
      <w:lvlText w:val="%1."/>
      <w:numFmt w:val="decimal"/>
      <w:start w:val="15"/>
    </w:lvl>
  </w:abstractNum>
  <w:abstractNum w:abstractNumId="149">
    <w:nsid w:val="17180B0B"/>
    <w:multiLevelType w:val="hybridMultilevel"/>
    <w:lvl w:ilvl="0">
      <w:lvlJc w:val="left"/>
      <w:lvlText w:val="%1"/>
      <w:numFmt w:val="decimal"/>
      <w:start w:val="1"/>
    </w:lvl>
    <w:lvl w:ilvl="1">
      <w:lvlJc w:val="left"/>
      <w:lvlText w:val="%2."/>
      <w:numFmt w:val="decimal"/>
      <w:start w:val="1"/>
    </w:lvl>
  </w:abstractNum>
  <w:abstractNum w:abstractNumId="150">
    <w:nsid w:val="579328B9"/>
    <w:multiLevelType w:val="hybridMultilevel"/>
    <w:lvl w:ilvl="0">
      <w:lvlJc w:val="left"/>
      <w:lvlText w:val="%1."/>
      <w:numFmt w:val="decimal"/>
      <w:start w:val="4"/>
    </w:lvl>
  </w:abstractNum>
  <w:abstractNum w:abstractNumId="151">
    <w:nsid w:val="5D205E20"/>
    <w:multiLevelType w:val="hybridMultilevel"/>
    <w:lvl w:ilvl="0">
      <w:lvlJc w:val="left"/>
      <w:lvlText w:val="%1."/>
      <w:numFmt w:val="decimal"/>
      <w:start w:val="1"/>
    </w:lvl>
  </w:abstractNum>
  <w:abstractNum w:abstractNumId="152">
    <w:nsid w:val="11CCA8BA"/>
    <w:multiLevelType w:val="hybridMultilevel"/>
    <w:lvl w:ilvl="0">
      <w:lvlJc w:val="left"/>
      <w:lvlText w:val="%1."/>
      <w:numFmt w:val="decimal"/>
      <w:start w:val="8"/>
    </w:lvl>
  </w:abstractNum>
  <w:abstractNum w:abstractNumId="153">
    <w:nsid w:val="4D32AB86"/>
    <w:multiLevelType w:val="hybridMultilevel"/>
    <w:lvl w:ilvl="0">
      <w:lvlJc w:val="left"/>
      <w:lvlText w:val="*"/>
      <w:numFmt w:val="bullet"/>
      <w:start w:val="1"/>
    </w:lvl>
  </w:abstractNum>
  <w:abstractNum w:abstractNumId="154">
    <w:nsid w:val="3F07ACC3"/>
    <w:multiLevelType w:val="hybridMultilevel"/>
    <w:lvl w:ilvl="0">
      <w:lvlJc w:val="left"/>
      <w:lvlText w:val="•"/>
      <w:numFmt w:val="bullet"/>
      <w:start w:val="1"/>
    </w:lvl>
  </w:abstractNum>
  <w:abstractNum w:abstractNumId="155">
    <w:nsid w:val="6B47F63E"/>
    <w:multiLevelType w:val="hybridMultilevel"/>
    <w:lvl w:ilvl="0">
      <w:lvlJc w:val="left"/>
      <w:lvlText w:val="2"/>
      <w:numFmt w:val="bullet"/>
      <w:start w:val="1"/>
    </w:lvl>
  </w:abstractNum>
  <w:abstractNum w:abstractNumId="156">
    <w:nsid w:val="5CB44A05"/>
    <w:multiLevelType w:val="hybridMultilevel"/>
    <w:lvl w:ilvl="0">
      <w:lvlJc w:val="left"/>
      <w:lvlText w:val="3"/>
      <w:numFmt w:val="bullet"/>
      <w:start w:val="1"/>
    </w:lvl>
  </w:abstractNum>
  <w:abstractNum w:abstractNumId="157">
    <w:nsid w:val="16CF80F1"/>
    <w:multiLevelType w:val="hybridMultilevel"/>
    <w:lvl w:ilvl="0">
      <w:lvlJc w:val="left"/>
      <w:lvlText w:val="4"/>
      <w:numFmt w:val="bullet"/>
      <w:start w:val="1"/>
    </w:lvl>
  </w:abstractNum>
  <w:abstractNum w:abstractNumId="158">
    <w:nsid w:val="1C695DEC"/>
    <w:multiLevelType w:val="hybridMultilevel"/>
    <w:lvl w:ilvl="0">
      <w:lvlJc w:val="left"/>
      <w:lvlText w:val="•"/>
      <w:numFmt w:val="bullet"/>
      <w:start w:val="1"/>
    </w:lvl>
  </w:abstractNum>
  <w:abstractNum w:abstractNumId="159">
    <w:nsid w:val="3FCFAED9"/>
    <w:multiLevelType w:val="hybridMultilevel"/>
    <w:lvl w:ilvl="0">
      <w:lvlJc w:val="left"/>
      <w:lvlText w:val="•"/>
      <w:numFmt w:val="bullet"/>
      <w:start w:val="1"/>
    </w:lvl>
  </w:abstractNum>
  <w:abstractNum w:abstractNumId="160">
    <w:nsid w:val="F856867"/>
    <w:multiLevelType w:val="hybridMultilevel"/>
    <w:lvl w:ilvl="0">
      <w:lvlJc w:val="left"/>
      <w:lvlText w:val="(%1)"/>
      <w:numFmt w:val="lowerLetter"/>
      <w:start w:val="1"/>
    </w:lvl>
  </w:abstractNum>
  <w:abstractNum w:abstractNumId="161">
    <w:nsid w:val="11B1CC33"/>
    <w:multiLevelType w:val="hybridMultilevel"/>
    <w:lvl w:ilvl="0">
      <w:lvlJc w:val="left"/>
      <w:lvlText w:val="%1"/>
      <w:numFmt w:val="lowerLetter"/>
      <w:start w:val="1"/>
    </w:lvl>
    <w:lvl w:ilvl="1">
      <w:lvlJc w:val="left"/>
      <w:lvlText w:val="(%2)"/>
      <w:numFmt w:val="lowerLetter"/>
      <w:start w:val="1"/>
    </w:lvl>
  </w:abstractNum>
  <w:abstractNum w:abstractNumId="162">
    <w:nsid w:val="2E22FBB7"/>
    <w:multiLevelType w:val="hybridMultilevel"/>
    <w:lvl w:ilvl="0">
      <w:lvlJc w:val="left"/>
      <w:lvlText w:val="(%1)"/>
      <w:numFmt w:val="lowerLetter"/>
      <w:start w:val="7"/>
    </w:lvl>
    <w:lvl w:ilvl="1">
      <w:lvlJc w:val="left"/>
      <w:lvlText w:val="(%2)"/>
      <w:numFmt w:val="lowerLetter"/>
      <w:start w:val="8"/>
    </w:lvl>
  </w:abstractNum>
  <w:abstractNum w:abstractNumId="163">
    <w:nsid w:val="29934699"/>
    <w:multiLevelType w:val="hybridMultilevel"/>
    <w:lvl w:ilvl="0">
      <w:lvlJc w:val="left"/>
      <w:lvlText w:val="•"/>
      <w:numFmt w:val="bullet"/>
      <w:start w:val="1"/>
    </w:lvl>
  </w:abstractNum>
  <w:abstractNum w:abstractNumId="164">
    <w:nsid w:val="7748585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2026-03-31T07:27:24Z</dcterms:created>
  <dcterms:modified xsi:type="dcterms:W3CDTF">2026-03-31T07:27:24Z</dcterms:modified>
</cp:coreProperties>
</file>